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805" w:rsidRPr="00A8464C" w:rsidRDefault="005A1805" w:rsidP="005A1805">
      <w:pPr>
        <w:ind w:left="4248"/>
        <w:jc w:val="both"/>
        <w:rPr>
          <w:rFonts w:ascii="Times New Roman" w:hAnsi="Times New Roman"/>
          <w:iCs/>
          <w:sz w:val="28"/>
          <w:szCs w:val="28"/>
          <w:lang w:val="uk-UA"/>
        </w:rPr>
      </w:pPr>
      <w:r w:rsidRPr="00A8464C">
        <w:rPr>
          <w:rFonts w:ascii="Times New Roman" w:hAnsi="Times New Roman"/>
          <w:iCs/>
          <w:sz w:val="28"/>
          <w:szCs w:val="28"/>
          <w:lang w:val="uk-UA"/>
        </w:rPr>
        <w:t>Спеціалізованій вченій раді Д 26.</w:t>
      </w:r>
      <w:r w:rsidR="003644F9" w:rsidRPr="00A8464C">
        <w:rPr>
          <w:rFonts w:ascii="Times New Roman" w:hAnsi="Times New Roman"/>
          <w:iCs/>
          <w:sz w:val="28"/>
          <w:szCs w:val="28"/>
          <w:lang w:val="uk-UA"/>
        </w:rPr>
        <w:t>236</w:t>
      </w:r>
      <w:r w:rsidRPr="00A8464C">
        <w:rPr>
          <w:rFonts w:ascii="Times New Roman" w:hAnsi="Times New Roman"/>
          <w:iCs/>
          <w:sz w:val="28"/>
          <w:szCs w:val="28"/>
          <w:lang w:val="uk-UA"/>
        </w:rPr>
        <w:t>.0</w:t>
      </w:r>
      <w:r w:rsidR="003644F9" w:rsidRPr="00A8464C">
        <w:rPr>
          <w:rFonts w:ascii="Times New Roman" w:hAnsi="Times New Roman"/>
          <w:iCs/>
          <w:sz w:val="28"/>
          <w:szCs w:val="28"/>
          <w:lang w:val="uk-UA"/>
        </w:rPr>
        <w:t>2</w:t>
      </w:r>
    </w:p>
    <w:p w:rsidR="005A1805" w:rsidRPr="00A8464C" w:rsidRDefault="005A1805" w:rsidP="005A1805">
      <w:pPr>
        <w:jc w:val="center"/>
        <w:rPr>
          <w:rFonts w:ascii="Times New Roman" w:hAnsi="Times New Roman"/>
          <w:bCs/>
          <w:sz w:val="28"/>
          <w:szCs w:val="28"/>
          <w:lang w:val="uk-UA"/>
        </w:rPr>
      </w:pPr>
    </w:p>
    <w:p w:rsidR="005A1805" w:rsidRPr="00A8464C" w:rsidRDefault="005A1805" w:rsidP="00A8464C">
      <w:pPr>
        <w:tabs>
          <w:tab w:val="left" w:pos="426"/>
        </w:tabs>
        <w:jc w:val="center"/>
        <w:rPr>
          <w:rFonts w:ascii="Times New Roman" w:hAnsi="Times New Roman"/>
          <w:b/>
          <w:bCs/>
          <w:sz w:val="28"/>
          <w:szCs w:val="28"/>
          <w:lang w:val="uk-UA"/>
        </w:rPr>
      </w:pPr>
      <w:r w:rsidRPr="00A8464C">
        <w:rPr>
          <w:rFonts w:ascii="Times New Roman" w:hAnsi="Times New Roman"/>
          <w:b/>
          <w:bCs/>
          <w:caps/>
          <w:sz w:val="28"/>
          <w:szCs w:val="28"/>
          <w:lang w:val="uk-UA"/>
        </w:rPr>
        <w:t>відзив</w:t>
      </w:r>
    </w:p>
    <w:p w:rsidR="005A1805" w:rsidRPr="00A8464C" w:rsidRDefault="005A1805" w:rsidP="00A8464C">
      <w:pPr>
        <w:tabs>
          <w:tab w:val="left" w:pos="426"/>
        </w:tabs>
        <w:spacing w:line="276" w:lineRule="auto"/>
        <w:jc w:val="center"/>
        <w:rPr>
          <w:rFonts w:ascii="Times New Roman" w:hAnsi="Times New Roman"/>
          <w:b/>
          <w:bCs/>
          <w:sz w:val="28"/>
          <w:szCs w:val="28"/>
          <w:lang w:val="uk-UA"/>
        </w:rPr>
      </w:pPr>
      <w:r w:rsidRPr="00A8464C">
        <w:rPr>
          <w:rFonts w:ascii="Times New Roman" w:hAnsi="Times New Roman"/>
          <w:b/>
          <w:bCs/>
          <w:sz w:val="28"/>
          <w:szCs w:val="28"/>
          <w:lang w:val="uk-UA"/>
        </w:rPr>
        <w:t xml:space="preserve">офіційного опонента – кандидата юридичних наук, доцента </w:t>
      </w:r>
    </w:p>
    <w:p w:rsidR="005A1805" w:rsidRPr="00A8464C" w:rsidRDefault="005A1805" w:rsidP="00A8464C">
      <w:pPr>
        <w:tabs>
          <w:tab w:val="left" w:pos="426"/>
        </w:tabs>
        <w:spacing w:line="276" w:lineRule="auto"/>
        <w:jc w:val="center"/>
        <w:rPr>
          <w:rFonts w:ascii="Times New Roman" w:hAnsi="Times New Roman"/>
          <w:b/>
          <w:bCs/>
          <w:sz w:val="28"/>
          <w:szCs w:val="28"/>
          <w:lang w:val="uk-UA"/>
        </w:rPr>
      </w:pPr>
      <w:proofErr w:type="spellStart"/>
      <w:r w:rsidRPr="00A8464C">
        <w:rPr>
          <w:rFonts w:ascii="Times New Roman" w:hAnsi="Times New Roman"/>
          <w:b/>
          <w:bCs/>
          <w:sz w:val="28"/>
          <w:szCs w:val="28"/>
          <w:lang w:val="uk-UA"/>
        </w:rPr>
        <w:t>Дзери</w:t>
      </w:r>
      <w:proofErr w:type="spellEnd"/>
      <w:r w:rsidRPr="00A8464C">
        <w:rPr>
          <w:rFonts w:ascii="Times New Roman" w:hAnsi="Times New Roman"/>
          <w:b/>
          <w:bCs/>
          <w:sz w:val="28"/>
          <w:szCs w:val="28"/>
          <w:lang w:val="uk-UA"/>
        </w:rPr>
        <w:t xml:space="preserve"> Ірини Олександрівни </w:t>
      </w:r>
    </w:p>
    <w:p w:rsidR="001D1C33" w:rsidRPr="00A8464C" w:rsidRDefault="005A1805" w:rsidP="00A8464C">
      <w:pPr>
        <w:tabs>
          <w:tab w:val="left" w:pos="426"/>
        </w:tabs>
        <w:spacing w:line="276" w:lineRule="auto"/>
        <w:jc w:val="center"/>
        <w:rPr>
          <w:rFonts w:ascii="Times New Roman" w:hAnsi="Times New Roman"/>
          <w:b/>
          <w:bCs/>
          <w:sz w:val="28"/>
          <w:szCs w:val="28"/>
          <w:lang w:val="uk-UA"/>
        </w:rPr>
      </w:pPr>
      <w:r w:rsidRPr="00A8464C">
        <w:rPr>
          <w:rFonts w:ascii="Times New Roman" w:hAnsi="Times New Roman"/>
          <w:b/>
          <w:bCs/>
          <w:sz w:val="28"/>
          <w:szCs w:val="28"/>
          <w:lang w:val="uk-UA"/>
        </w:rPr>
        <w:t>на дисертацію Одосій Ольги Юріївни</w:t>
      </w:r>
      <w:r w:rsidR="00982358" w:rsidRPr="00A8464C">
        <w:rPr>
          <w:rFonts w:ascii="Times New Roman" w:hAnsi="Times New Roman"/>
          <w:b/>
          <w:bCs/>
          <w:sz w:val="28"/>
          <w:szCs w:val="28"/>
        </w:rPr>
        <w:t xml:space="preserve"> </w:t>
      </w:r>
      <w:r w:rsidRPr="00A8464C">
        <w:rPr>
          <w:rFonts w:ascii="Times New Roman" w:hAnsi="Times New Roman"/>
          <w:b/>
          <w:bCs/>
          <w:sz w:val="28"/>
          <w:szCs w:val="28"/>
          <w:lang w:val="uk-UA"/>
        </w:rPr>
        <w:t xml:space="preserve">на тему «Забезпечувальні заходи </w:t>
      </w:r>
    </w:p>
    <w:p w:rsidR="005A1805" w:rsidRPr="00A8464C" w:rsidRDefault="005A1805" w:rsidP="00A8464C">
      <w:pPr>
        <w:tabs>
          <w:tab w:val="left" w:pos="426"/>
        </w:tabs>
        <w:spacing w:line="276" w:lineRule="auto"/>
        <w:jc w:val="center"/>
        <w:rPr>
          <w:rFonts w:ascii="Times New Roman" w:hAnsi="Times New Roman"/>
          <w:b/>
          <w:bCs/>
          <w:sz w:val="28"/>
          <w:szCs w:val="28"/>
          <w:lang w:val="uk-UA"/>
        </w:rPr>
      </w:pPr>
      <w:r w:rsidRPr="00A8464C">
        <w:rPr>
          <w:rFonts w:ascii="Times New Roman" w:hAnsi="Times New Roman"/>
          <w:b/>
          <w:bCs/>
          <w:sz w:val="28"/>
          <w:szCs w:val="28"/>
          <w:lang w:val="uk-UA"/>
        </w:rPr>
        <w:t>в цивілістичному процесі України»,</w:t>
      </w:r>
    </w:p>
    <w:p w:rsidR="001D1C33" w:rsidRPr="00A8464C" w:rsidRDefault="005A1805" w:rsidP="00A8464C">
      <w:pPr>
        <w:tabs>
          <w:tab w:val="left" w:pos="426"/>
        </w:tabs>
        <w:spacing w:line="276" w:lineRule="auto"/>
        <w:jc w:val="center"/>
        <w:rPr>
          <w:rFonts w:ascii="Times New Roman" w:hAnsi="Times New Roman"/>
          <w:b/>
          <w:bCs/>
          <w:sz w:val="28"/>
          <w:szCs w:val="28"/>
          <w:lang w:val="uk-UA"/>
        </w:rPr>
      </w:pPr>
      <w:r w:rsidRPr="00A8464C">
        <w:rPr>
          <w:rFonts w:ascii="Times New Roman" w:hAnsi="Times New Roman"/>
          <w:b/>
          <w:bCs/>
          <w:sz w:val="28"/>
          <w:szCs w:val="28"/>
          <w:lang w:val="uk-UA"/>
        </w:rPr>
        <w:t xml:space="preserve">подану на здобуття наукового ступеня кандидата юридичних наук </w:t>
      </w:r>
    </w:p>
    <w:p w:rsidR="001D1C33" w:rsidRPr="00A8464C" w:rsidRDefault="005A1805" w:rsidP="00A8464C">
      <w:pPr>
        <w:tabs>
          <w:tab w:val="left" w:pos="426"/>
        </w:tabs>
        <w:spacing w:line="276" w:lineRule="auto"/>
        <w:jc w:val="center"/>
        <w:rPr>
          <w:rFonts w:ascii="Times New Roman" w:hAnsi="Times New Roman"/>
          <w:b/>
          <w:bCs/>
          <w:sz w:val="28"/>
          <w:szCs w:val="28"/>
          <w:lang w:val="uk-UA"/>
        </w:rPr>
      </w:pPr>
      <w:r w:rsidRPr="00A8464C">
        <w:rPr>
          <w:rFonts w:ascii="Times New Roman" w:hAnsi="Times New Roman"/>
          <w:b/>
          <w:bCs/>
          <w:sz w:val="28"/>
          <w:szCs w:val="28"/>
          <w:lang w:val="uk-UA"/>
        </w:rPr>
        <w:t xml:space="preserve">за спеціальністю 12.00.03 – цивільне право і цивільний процес; </w:t>
      </w:r>
    </w:p>
    <w:p w:rsidR="005A1805" w:rsidRPr="00A8464C" w:rsidRDefault="005A1805" w:rsidP="00A8464C">
      <w:pPr>
        <w:tabs>
          <w:tab w:val="left" w:pos="426"/>
        </w:tabs>
        <w:spacing w:line="276" w:lineRule="auto"/>
        <w:jc w:val="center"/>
        <w:rPr>
          <w:rFonts w:ascii="Times New Roman" w:hAnsi="Times New Roman"/>
          <w:b/>
          <w:bCs/>
          <w:sz w:val="28"/>
          <w:szCs w:val="28"/>
          <w:lang w:val="uk-UA"/>
        </w:rPr>
      </w:pPr>
      <w:r w:rsidRPr="00A8464C">
        <w:rPr>
          <w:rFonts w:ascii="Times New Roman" w:hAnsi="Times New Roman"/>
          <w:b/>
          <w:bCs/>
          <w:sz w:val="28"/>
          <w:szCs w:val="28"/>
          <w:lang w:val="uk-UA"/>
        </w:rPr>
        <w:t>сімейне право; міжнародне приватне право</w:t>
      </w:r>
    </w:p>
    <w:p w:rsidR="005A1805" w:rsidRPr="00A8464C" w:rsidRDefault="005A1805" w:rsidP="00AC10F0">
      <w:pPr>
        <w:spacing w:line="360" w:lineRule="auto"/>
        <w:rPr>
          <w:rFonts w:ascii="Times New Roman" w:hAnsi="Times New Roman"/>
          <w:sz w:val="28"/>
          <w:szCs w:val="28"/>
          <w:lang w:val="uk-UA"/>
        </w:rPr>
      </w:pPr>
    </w:p>
    <w:p w:rsidR="0049062A" w:rsidRPr="00A8464C" w:rsidRDefault="005A1805" w:rsidP="005A1805">
      <w:pPr>
        <w:spacing w:line="360" w:lineRule="auto"/>
        <w:ind w:firstLine="709"/>
        <w:jc w:val="both"/>
        <w:rPr>
          <w:rFonts w:ascii="Times New Roman" w:hAnsi="Times New Roman"/>
          <w:sz w:val="28"/>
          <w:szCs w:val="28"/>
          <w:lang w:val="uk-UA"/>
        </w:rPr>
      </w:pPr>
      <w:r w:rsidRPr="00A8464C">
        <w:rPr>
          <w:rFonts w:ascii="Times New Roman" w:hAnsi="Times New Roman"/>
          <w:i/>
          <w:sz w:val="28"/>
          <w:szCs w:val="28"/>
          <w:lang w:val="uk-UA"/>
        </w:rPr>
        <w:t>Актуальність теми дослідження</w:t>
      </w:r>
      <w:r w:rsidRPr="00A8464C">
        <w:rPr>
          <w:rFonts w:ascii="Times New Roman" w:hAnsi="Times New Roman"/>
          <w:sz w:val="28"/>
          <w:szCs w:val="28"/>
          <w:lang w:val="uk-UA"/>
        </w:rPr>
        <w:t xml:space="preserve">. Питання правового регулювання забезпечення позову та доказів, зокрема, в цивільному процесі є надзвичайно актуальними, зважаючи не лише на розповсюдженість цього способу захисту прав та інтересів сторін цивільного процесу. </w:t>
      </w:r>
      <w:r w:rsidR="0049062A" w:rsidRPr="00A8464C">
        <w:rPr>
          <w:rFonts w:ascii="Times New Roman" w:hAnsi="Times New Roman"/>
          <w:sz w:val="28"/>
          <w:szCs w:val="28"/>
          <w:lang w:val="uk-UA"/>
        </w:rPr>
        <w:t xml:space="preserve">Потреба у </w:t>
      </w:r>
      <w:proofErr w:type="spellStart"/>
      <w:r w:rsidR="0049062A" w:rsidRPr="00A8464C">
        <w:rPr>
          <w:rFonts w:ascii="Times New Roman" w:hAnsi="Times New Roman"/>
          <w:sz w:val="28"/>
          <w:szCs w:val="28"/>
          <w:lang w:val="uk-UA"/>
        </w:rPr>
        <w:t>грунтовному</w:t>
      </w:r>
      <w:proofErr w:type="spellEnd"/>
      <w:r w:rsidR="0049062A" w:rsidRPr="00A8464C">
        <w:rPr>
          <w:rFonts w:ascii="Times New Roman" w:hAnsi="Times New Roman"/>
          <w:sz w:val="28"/>
          <w:szCs w:val="28"/>
          <w:lang w:val="uk-UA"/>
        </w:rPr>
        <w:t xml:space="preserve"> дослідженні</w:t>
      </w:r>
      <w:r w:rsidRPr="00A8464C">
        <w:rPr>
          <w:rFonts w:ascii="Times New Roman" w:hAnsi="Times New Roman"/>
          <w:sz w:val="28"/>
          <w:szCs w:val="28"/>
          <w:lang w:val="uk-UA"/>
        </w:rPr>
        <w:t xml:space="preserve"> </w:t>
      </w:r>
      <w:r w:rsidR="003644F9" w:rsidRPr="00A8464C">
        <w:rPr>
          <w:rFonts w:ascii="Times New Roman" w:hAnsi="Times New Roman"/>
          <w:sz w:val="28"/>
          <w:szCs w:val="28"/>
          <w:lang w:val="uk-UA"/>
        </w:rPr>
        <w:t xml:space="preserve">таких заходів обумовлена в першу чергу у зв'язку з викладенням Цивільного процесуального кодексу України у новій </w:t>
      </w:r>
      <w:r w:rsidR="003644F9" w:rsidRPr="00A8464C">
        <w:rPr>
          <w:rFonts w:ascii="Times New Roman" w:hAnsi="Times New Roman"/>
          <w:sz w:val="28"/>
          <w:szCs w:val="28"/>
        </w:rPr>
        <w:t>редакції</w:t>
      </w:r>
      <w:r w:rsidR="007B67AB" w:rsidRPr="00A8464C">
        <w:rPr>
          <w:rFonts w:ascii="Times New Roman" w:hAnsi="Times New Roman"/>
          <w:sz w:val="28"/>
          <w:szCs w:val="28"/>
        </w:rPr>
        <w:t xml:space="preserve"> 15.12.2017</w:t>
      </w:r>
      <w:r w:rsidR="007B67AB" w:rsidRPr="00A8464C">
        <w:rPr>
          <w:rFonts w:ascii="Times New Roman" w:hAnsi="Times New Roman"/>
          <w:sz w:val="28"/>
          <w:szCs w:val="28"/>
          <w:lang w:val="uk-UA"/>
        </w:rPr>
        <w:t xml:space="preserve"> (з наступними змінами), в якому питання забезпечення позову врегульовані по-іншому, ніж в попередніх редакціях кодексу.</w:t>
      </w:r>
    </w:p>
    <w:p w:rsidR="005A1805" w:rsidRPr="00A8464C" w:rsidRDefault="007B67AB" w:rsidP="005A1805">
      <w:pPr>
        <w:spacing w:line="360" w:lineRule="auto"/>
        <w:ind w:firstLine="709"/>
        <w:jc w:val="both"/>
        <w:rPr>
          <w:rFonts w:ascii="Times New Roman" w:hAnsi="Times New Roman"/>
          <w:sz w:val="28"/>
          <w:szCs w:val="28"/>
          <w:lang w:val="uk-UA"/>
        </w:rPr>
      </w:pPr>
      <w:r w:rsidRPr="00A8464C">
        <w:rPr>
          <w:rFonts w:ascii="Times New Roman" w:hAnsi="Times New Roman"/>
          <w:sz w:val="28"/>
          <w:szCs w:val="28"/>
          <w:lang w:val="uk-UA"/>
        </w:rPr>
        <w:t>П</w:t>
      </w:r>
      <w:r w:rsidR="005A1805" w:rsidRPr="00A8464C">
        <w:rPr>
          <w:rFonts w:ascii="Times New Roman" w:hAnsi="Times New Roman"/>
          <w:sz w:val="28"/>
          <w:szCs w:val="28"/>
          <w:lang w:val="uk-UA"/>
        </w:rPr>
        <w:t xml:space="preserve">огляди на </w:t>
      </w:r>
      <w:r w:rsidRPr="00A8464C">
        <w:rPr>
          <w:rFonts w:ascii="Times New Roman" w:hAnsi="Times New Roman"/>
          <w:sz w:val="28"/>
          <w:szCs w:val="28"/>
          <w:lang w:val="uk-UA"/>
        </w:rPr>
        <w:t xml:space="preserve">забезпечувальні заходи не лише в цивільному процесі, але й виконавчому </w:t>
      </w:r>
      <w:r w:rsidR="005A1805" w:rsidRPr="00A8464C">
        <w:rPr>
          <w:rFonts w:ascii="Times New Roman" w:hAnsi="Times New Roman"/>
          <w:sz w:val="28"/>
          <w:szCs w:val="28"/>
          <w:lang w:val="uk-UA"/>
        </w:rPr>
        <w:t xml:space="preserve">також не залишаються незмінними, особливо в умовах євроінтеграції України та наближення законодавства України до європейських стандартів. </w:t>
      </w:r>
      <w:r w:rsidRPr="00A8464C">
        <w:rPr>
          <w:rFonts w:ascii="Times New Roman" w:hAnsi="Times New Roman"/>
          <w:sz w:val="28"/>
          <w:szCs w:val="28"/>
          <w:lang w:val="uk-UA"/>
        </w:rPr>
        <w:t xml:space="preserve">Крім того, про доцільність запровадження в законодавство України заходів забезпечення доказів в нотаріальній діяльності також свідчать спроби прийняти Закон </w:t>
      </w:r>
      <w:r w:rsidR="0067169B" w:rsidRPr="00A8464C">
        <w:rPr>
          <w:rFonts w:ascii="Times New Roman" w:hAnsi="Times New Roman"/>
          <w:sz w:val="28"/>
          <w:szCs w:val="28"/>
          <w:lang w:val="uk-UA"/>
        </w:rPr>
        <w:t>«П</w:t>
      </w:r>
      <w:r w:rsidRPr="00A8464C">
        <w:rPr>
          <w:rFonts w:ascii="Times New Roman" w:hAnsi="Times New Roman"/>
          <w:sz w:val="28"/>
          <w:szCs w:val="28"/>
          <w:lang w:val="uk-UA"/>
        </w:rPr>
        <w:t xml:space="preserve">ро внесення змін до деяких законодавчих актів України щодо забезпечення доказів нотаріусом», які хоча й не увінчалися успіхом, проте можливо він все-таки буде прийнятий Верховною </w:t>
      </w:r>
      <w:r w:rsidR="001D1C33" w:rsidRPr="00A8464C">
        <w:rPr>
          <w:rFonts w:ascii="Times New Roman" w:hAnsi="Times New Roman"/>
          <w:sz w:val="28"/>
          <w:szCs w:val="28"/>
          <w:lang w:val="uk-UA"/>
        </w:rPr>
        <w:t>Р</w:t>
      </w:r>
      <w:r w:rsidRPr="00A8464C">
        <w:rPr>
          <w:rFonts w:ascii="Times New Roman" w:hAnsi="Times New Roman"/>
          <w:sz w:val="28"/>
          <w:szCs w:val="28"/>
          <w:lang w:val="uk-UA"/>
        </w:rPr>
        <w:t xml:space="preserve">адою України. </w:t>
      </w:r>
      <w:r w:rsidR="005A1805" w:rsidRPr="00A8464C">
        <w:rPr>
          <w:rFonts w:ascii="Times New Roman" w:hAnsi="Times New Roman"/>
          <w:sz w:val="28"/>
          <w:szCs w:val="28"/>
          <w:lang w:val="uk-UA"/>
        </w:rPr>
        <w:t xml:space="preserve">Так, протягом останніх десятиліть, які пройшли з моменту прийняття </w:t>
      </w:r>
      <w:r w:rsidR="007F532E" w:rsidRPr="00A8464C">
        <w:rPr>
          <w:rFonts w:ascii="Times New Roman" w:hAnsi="Times New Roman"/>
          <w:sz w:val="28"/>
          <w:szCs w:val="28"/>
          <w:lang w:val="uk-UA"/>
        </w:rPr>
        <w:t xml:space="preserve">не лише </w:t>
      </w:r>
      <w:r w:rsidR="005A1805" w:rsidRPr="00A8464C">
        <w:rPr>
          <w:rFonts w:ascii="Times New Roman" w:hAnsi="Times New Roman"/>
          <w:sz w:val="28"/>
          <w:szCs w:val="28"/>
          <w:lang w:val="uk-UA"/>
        </w:rPr>
        <w:t xml:space="preserve">Цивільного </w:t>
      </w:r>
      <w:r w:rsidR="007F532E" w:rsidRPr="00A8464C">
        <w:rPr>
          <w:rFonts w:ascii="Times New Roman" w:hAnsi="Times New Roman"/>
          <w:sz w:val="28"/>
          <w:szCs w:val="28"/>
          <w:lang w:val="uk-UA"/>
        </w:rPr>
        <w:t xml:space="preserve">і Господарського </w:t>
      </w:r>
      <w:r w:rsidR="005A1805" w:rsidRPr="00A8464C">
        <w:rPr>
          <w:rFonts w:ascii="Times New Roman" w:hAnsi="Times New Roman"/>
          <w:sz w:val="28"/>
          <w:szCs w:val="28"/>
          <w:lang w:val="uk-UA"/>
        </w:rPr>
        <w:t>кодекс</w:t>
      </w:r>
      <w:r w:rsidR="007F532E" w:rsidRPr="00A8464C">
        <w:rPr>
          <w:rFonts w:ascii="Times New Roman" w:hAnsi="Times New Roman"/>
          <w:sz w:val="28"/>
          <w:szCs w:val="28"/>
          <w:lang w:val="uk-UA"/>
        </w:rPr>
        <w:t>ів</w:t>
      </w:r>
      <w:r w:rsidR="005A1805" w:rsidRPr="00A8464C">
        <w:rPr>
          <w:rFonts w:ascii="Times New Roman" w:hAnsi="Times New Roman"/>
          <w:sz w:val="28"/>
          <w:szCs w:val="28"/>
          <w:lang w:val="uk-UA"/>
        </w:rPr>
        <w:t xml:space="preserve"> України</w:t>
      </w:r>
      <w:r w:rsidR="007F532E" w:rsidRPr="00A8464C">
        <w:rPr>
          <w:rFonts w:ascii="Times New Roman" w:hAnsi="Times New Roman"/>
          <w:sz w:val="28"/>
          <w:szCs w:val="28"/>
          <w:lang w:val="uk-UA"/>
        </w:rPr>
        <w:t>, але й Цивільного і Господарського процесуальних кодексів, а також Закону «Про виконавче провадження»</w:t>
      </w:r>
      <w:r w:rsidR="005A1805" w:rsidRPr="00A8464C">
        <w:rPr>
          <w:rFonts w:ascii="Times New Roman" w:hAnsi="Times New Roman"/>
          <w:sz w:val="28"/>
          <w:szCs w:val="28"/>
          <w:lang w:val="uk-UA"/>
        </w:rPr>
        <w:t xml:space="preserve"> відбулася трансформація інституту </w:t>
      </w:r>
      <w:r w:rsidR="007F532E" w:rsidRPr="00A8464C">
        <w:rPr>
          <w:rFonts w:ascii="Times New Roman" w:hAnsi="Times New Roman"/>
          <w:sz w:val="28"/>
          <w:szCs w:val="28"/>
          <w:lang w:val="uk-UA"/>
        </w:rPr>
        <w:t>заходів забезпечення</w:t>
      </w:r>
      <w:r w:rsidR="005A1805" w:rsidRPr="00A8464C">
        <w:rPr>
          <w:rFonts w:ascii="Times New Roman" w:hAnsi="Times New Roman"/>
          <w:sz w:val="28"/>
          <w:szCs w:val="28"/>
          <w:lang w:val="uk-UA"/>
        </w:rPr>
        <w:t xml:space="preserve">, яка проявилася як у зміні поглядів на </w:t>
      </w:r>
      <w:r w:rsidR="007F532E" w:rsidRPr="00A8464C">
        <w:rPr>
          <w:rFonts w:ascii="Times New Roman" w:hAnsi="Times New Roman"/>
          <w:sz w:val="28"/>
          <w:szCs w:val="28"/>
          <w:lang w:val="uk-UA"/>
        </w:rPr>
        <w:t>їх</w:t>
      </w:r>
      <w:r w:rsidR="005A1805" w:rsidRPr="00A8464C">
        <w:rPr>
          <w:rFonts w:ascii="Times New Roman" w:hAnsi="Times New Roman"/>
          <w:sz w:val="28"/>
          <w:szCs w:val="28"/>
          <w:lang w:val="uk-UA"/>
        </w:rPr>
        <w:t xml:space="preserve"> правову природу, </w:t>
      </w:r>
      <w:r w:rsidR="007F532E" w:rsidRPr="00A8464C">
        <w:rPr>
          <w:rFonts w:ascii="Times New Roman" w:hAnsi="Times New Roman"/>
          <w:sz w:val="28"/>
          <w:szCs w:val="28"/>
          <w:lang w:val="uk-UA"/>
        </w:rPr>
        <w:t xml:space="preserve">види, а також </w:t>
      </w:r>
      <w:r w:rsidR="005A1805" w:rsidRPr="00A8464C">
        <w:rPr>
          <w:rFonts w:ascii="Times New Roman" w:hAnsi="Times New Roman"/>
          <w:sz w:val="28"/>
          <w:szCs w:val="28"/>
          <w:lang w:val="uk-UA"/>
        </w:rPr>
        <w:t xml:space="preserve">відповідно </w:t>
      </w:r>
      <w:r w:rsidR="005A1805" w:rsidRPr="00A8464C">
        <w:rPr>
          <w:rFonts w:ascii="Times New Roman" w:hAnsi="Times New Roman"/>
          <w:sz w:val="28"/>
          <w:szCs w:val="28"/>
          <w:lang w:val="uk-UA"/>
        </w:rPr>
        <w:lastRenderedPageBreak/>
        <w:t>втілилося</w:t>
      </w:r>
      <w:r w:rsidR="007F532E" w:rsidRPr="00A8464C">
        <w:rPr>
          <w:rFonts w:ascii="Times New Roman" w:hAnsi="Times New Roman"/>
          <w:sz w:val="28"/>
          <w:szCs w:val="28"/>
          <w:lang w:val="uk-UA"/>
        </w:rPr>
        <w:t xml:space="preserve"> і у правах і обов’язках учасників цивільного, нотаріального та виконавчого процесів</w:t>
      </w:r>
      <w:r w:rsidR="005A1805" w:rsidRPr="00A8464C">
        <w:rPr>
          <w:rFonts w:ascii="Times New Roman" w:hAnsi="Times New Roman"/>
          <w:sz w:val="28"/>
          <w:szCs w:val="28"/>
          <w:lang w:val="uk-UA"/>
        </w:rPr>
        <w:t>.</w:t>
      </w:r>
    </w:p>
    <w:p w:rsidR="005A1805" w:rsidRPr="00A8464C" w:rsidRDefault="005A1805" w:rsidP="005A1805">
      <w:pPr>
        <w:tabs>
          <w:tab w:val="left" w:pos="567"/>
          <w:tab w:val="left" w:pos="2410"/>
        </w:tabs>
        <w:spacing w:line="360" w:lineRule="auto"/>
        <w:ind w:firstLine="709"/>
        <w:jc w:val="both"/>
        <w:rPr>
          <w:rFonts w:ascii="Times New Roman" w:hAnsi="Times New Roman"/>
          <w:sz w:val="28"/>
          <w:szCs w:val="28"/>
          <w:lang w:val="uk-UA"/>
        </w:rPr>
      </w:pPr>
      <w:r w:rsidRPr="00A8464C">
        <w:rPr>
          <w:rFonts w:ascii="Times New Roman" w:hAnsi="Times New Roman"/>
          <w:sz w:val="28"/>
          <w:szCs w:val="28"/>
          <w:lang w:val="uk-UA"/>
        </w:rPr>
        <w:t xml:space="preserve">Запропонована дисертаційна робота є комплексним дослідженням у сфері правового регулювання </w:t>
      </w:r>
      <w:r w:rsidR="001D1C33" w:rsidRPr="00A8464C">
        <w:rPr>
          <w:rFonts w:ascii="Times New Roman" w:hAnsi="Times New Roman"/>
          <w:sz w:val="28"/>
          <w:szCs w:val="28"/>
          <w:lang w:val="uk-UA"/>
        </w:rPr>
        <w:t xml:space="preserve">забезпечувальних заходів, що застосовуються в цивільному процесі, виконавчому процесі та нотаріальній </w:t>
      </w:r>
      <w:r w:rsidR="0067169B" w:rsidRPr="00A8464C">
        <w:rPr>
          <w:rFonts w:ascii="Times New Roman" w:hAnsi="Times New Roman"/>
          <w:sz w:val="28"/>
          <w:szCs w:val="28"/>
          <w:lang w:val="uk-UA"/>
        </w:rPr>
        <w:t>діяльності</w:t>
      </w:r>
      <w:r w:rsidRPr="00A8464C">
        <w:rPr>
          <w:rFonts w:ascii="Times New Roman" w:hAnsi="Times New Roman"/>
          <w:sz w:val="28"/>
          <w:szCs w:val="28"/>
          <w:lang w:val="uk-UA"/>
        </w:rPr>
        <w:t xml:space="preserve">. Необхідність звернення до зазначеної проблематики зумовлена тим, що хоча у сучасній вітчизняній цивілістичній науці й мали місце дисертаційні дослідження присвячені правовому регулюванню </w:t>
      </w:r>
      <w:r w:rsidR="001D1C33" w:rsidRPr="00A8464C">
        <w:rPr>
          <w:rFonts w:ascii="Times New Roman" w:hAnsi="Times New Roman"/>
          <w:sz w:val="28"/>
          <w:szCs w:val="28"/>
          <w:lang w:val="uk-UA"/>
        </w:rPr>
        <w:t>таких заходів</w:t>
      </w:r>
      <w:r w:rsidRPr="00A8464C">
        <w:rPr>
          <w:rFonts w:ascii="Times New Roman" w:hAnsi="Times New Roman"/>
          <w:sz w:val="28"/>
          <w:szCs w:val="28"/>
          <w:lang w:val="uk-UA"/>
        </w:rPr>
        <w:t xml:space="preserve"> (</w:t>
      </w:r>
      <w:proofErr w:type="spellStart"/>
      <w:r w:rsidR="00A13D24" w:rsidRPr="00A8464C">
        <w:rPr>
          <w:rFonts w:ascii="Times New Roman" w:hAnsi="Times New Roman"/>
          <w:sz w:val="28"/>
          <w:szCs w:val="28"/>
          <w:lang w:val="uk-UA" w:eastAsia="uk-UA"/>
        </w:rPr>
        <w:t>Буга</w:t>
      </w:r>
      <w:proofErr w:type="spellEnd"/>
      <w:r w:rsidR="00A13D24" w:rsidRPr="00A8464C">
        <w:rPr>
          <w:rFonts w:ascii="Times New Roman" w:hAnsi="Times New Roman"/>
          <w:sz w:val="28"/>
          <w:szCs w:val="28"/>
          <w:lang w:val="uk-UA" w:eastAsia="uk-UA"/>
        </w:rPr>
        <w:t xml:space="preserve"> Г.С. «Забезпечення позову в цивільному процесуальному</w:t>
      </w:r>
      <w:r w:rsidRPr="00A8464C">
        <w:rPr>
          <w:rFonts w:ascii="Times New Roman" w:hAnsi="Times New Roman"/>
          <w:sz w:val="28"/>
          <w:szCs w:val="28"/>
          <w:lang w:val="uk-UA"/>
        </w:rPr>
        <w:t xml:space="preserve"> </w:t>
      </w:r>
      <w:r w:rsidR="00A13D24" w:rsidRPr="00A8464C">
        <w:rPr>
          <w:rFonts w:ascii="Times New Roman" w:hAnsi="Times New Roman"/>
          <w:sz w:val="28"/>
          <w:szCs w:val="28"/>
          <w:lang w:val="uk-UA"/>
        </w:rPr>
        <w:t xml:space="preserve">праві України </w:t>
      </w:r>
      <w:r w:rsidRPr="00A8464C">
        <w:rPr>
          <w:rFonts w:ascii="Times New Roman" w:hAnsi="Times New Roman"/>
          <w:sz w:val="28"/>
          <w:szCs w:val="28"/>
          <w:lang w:val="uk-UA"/>
        </w:rPr>
        <w:t>(20</w:t>
      </w:r>
      <w:r w:rsidR="00A13D24" w:rsidRPr="00A8464C">
        <w:rPr>
          <w:rFonts w:ascii="Times New Roman" w:hAnsi="Times New Roman"/>
          <w:sz w:val="28"/>
          <w:szCs w:val="28"/>
          <w:lang w:val="uk-UA"/>
        </w:rPr>
        <w:t>12</w:t>
      </w:r>
      <w:r w:rsidRPr="00A8464C">
        <w:rPr>
          <w:rFonts w:ascii="Times New Roman" w:hAnsi="Times New Roman"/>
          <w:sz w:val="28"/>
          <w:szCs w:val="28"/>
          <w:lang w:val="uk-UA"/>
        </w:rPr>
        <w:t xml:space="preserve">), </w:t>
      </w:r>
      <w:r w:rsidR="00261F71" w:rsidRPr="00A8464C">
        <w:rPr>
          <w:rFonts w:ascii="Times New Roman" w:hAnsi="Times New Roman"/>
          <w:sz w:val="28"/>
          <w:szCs w:val="28"/>
          <w:lang w:val="uk-UA"/>
        </w:rPr>
        <w:t>Рудко Б.Б. «</w:t>
      </w:r>
      <w:r w:rsidR="0067169B" w:rsidRPr="00A8464C">
        <w:rPr>
          <w:rFonts w:ascii="Times New Roman" w:hAnsi="Times New Roman"/>
          <w:sz w:val="28"/>
          <w:szCs w:val="28"/>
          <w:lang w:val="uk-UA"/>
        </w:rPr>
        <w:t>П</w:t>
      </w:r>
      <w:r w:rsidR="00261F71" w:rsidRPr="00A8464C">
        <w:rPr>
          <w:rFonts w:ascii="Times New Roman" w:hAnsi="Times New Roman"/>
          <w:sz w:val="28"/>
          <w:szCs w:val="28"/>
          <w:lang w:val="uk-UA"/>
        </w:rPr>
        <w:t xml:space="preserve">роцедура нотаріального провадження з вжиття заходів щодо охорони спадкового майна» </w:t>
      </w:r>
      <w:r w:rsidRPr="00A8464C">
        <w:rPr>
          <w:rFonts w:ascii="Times New Roman" w:hAnsi="Times New Roman"/>
          <w:sz w:val="28"/>
          <w:szCs w:val="28"/>
          <w:lang w:val="uk-UA" w:eastAsia="uk-UA"/>
        </w:rPr>
        <w:t>(201</w:t>
      </w:r>
      <w:r w:rsidR="00261F71" w:rsidRPr="00A8464C">
        <w:rPr>
          <w:rFonts w:ascii="Times New Roman" w:hAnsi="Times New Roman"/>
          <w:sz w:val="28"/>
          <w:szCs w:val="28"/>
          <w:lang w:val="uk-UA" w:eastAsia="uk-UA"/>
        </w:rPr>
        <w:t>2</w:t>
      </w:r>
      <w:r w:rsidRPr="00A8464C">
        <w:rPr>
          <w:rFonts w:ascii="Times New Roman" w:hAnsi="Times New Roman"/>
          <w:sz w:val="28"/>
          <w:szCs w:val="28"/>
          <w:lang w:val="uk-UA" w:eastAsia="uk-UA"/>
        </w:rPr>
        <w:t>) та ін.</w:t>
      </w:r>
      <w:r w:rsidRPr="00A8464C">
        <w:rPr>
          <w:rFonts w:ascii="Times New Roman" w:hAnsi="Times New Roman"/>
          <w:sz w:val="28"/>
          <w:szCs w:val="28"/>
          <w:lang w:val="uk-UA"/>
        </w:rPr>
        <w:t xml:space="preserve">), </w:t>
      </w:r>
      <w:r w:rsidR="00261F71" w:rsidRPr="00A8464C">
        <w:rPr>
          <w:rFonts w:ascii="Times New Roman" w:hAnsi="Times New Roman"/>
          <w:sz w:val="28"/>
          <w:szCs w:val="28"/>
          <w:lang w:val="uk-UA"/>
        </w:rPr>
        <w:t xml:space="preserve">Бурмак О.О. «Забезпечення доказів в цивільному та нотаріальному процесах» (2015) та ін., </w:t>
      </w:r>
      <w:r w:rsidRPr="00A8464C">
        <w:rPr>
          <w:rFonts w:ascii="Times New Roman" w:hAnsi="Times New Roman"/>
          <w:sz w:val="28"/>
          <w:szCs w:val="28"/>
          <w:lang w:val="uk-UA"/>
        </w:rPr>
        <w:t xml:space="preserve">проте </w:t>
      </w:r>
      <w:r w:rsidR="009B1FB8" w:rsidRPr="00A8464C">
        <w:rPr>
          <w:rFonts w:ascii="Times New Roman" w:hAnsi="Times New Roman"/>
          <w:sz w:val="28"/>
          <w:szCs w:val="28"/>
          <w:lang w:val="uk-UA"/>
        </w:rPr>
        <w:t>більшість з них були</w:t>
      </w:r>
      <w:r w:rsidRPr="00A8464C">
        <w:rPr>
          <w:rFonts w:ascii="Times New Roman" w:hAnsi="Times New Roman"/>
          <w:sz w:val="28"/>
          <w:szCs w:val="28"/>
          <w:lang w:val="uk-UA"/>
        </w:rPr>
        <w:t xml:space="preserve"> </w:t>
      </w:r>
      <w:r w:rsidR="009B1FB8" w:rsidRPr="00A8464C">
        <w:rPr>
          <w:rFonts w:ascii="Times New Roman" w:hAnsi="Times New Roman"/>
          <w:sz w:val="28"/>
          <w:szCs w:val="28"/>
          <w:lang w:val="uk-UA"/>
        </w:rPr>
        <w:t>присвячені лише окремим видам забезпеч</w:t>
      </w:r>
      <w:r w:rsidR="00261F71" w:rsidRPr="00A8464C">
        <w:rPr>
          <w:rFonts w:ascii="Times New Roman" w:hAnsi="Times New Roman"/>
          <w:sz w:val="28"/>
          <w:szCs w:val="28"/>
          <w:lang w:val="uk-UA"/>
        </w:rPr>
        <w:t xml:space="preserve">увальних заходів </w:t>
      </w:r>
      <w:r w:rsidR="009B1FB8" w:rsidRPr="00A8464C">
        <w:rPr>
          <w:rFonts w:ascii="Times New Roman" w:hAnsi="Times New Roman"/>
          <w:sz w:val="28"/>
          <w:szCs w:val="28"/>
          <w:lang w:val="uk-UA"/>
        </w:rPr>
        <w:t>або були написані до прийняття Цивільного процесуального кодексу України в новій редакції. Відтак дослідження Одосій О.Ю є вкрай актуальним.</w:t>
      </w:r>
    </w:p>
    <w:p w:rsidR="005A1805" w:rsidRPr="00A8464C" w:rsidRDefault="005A1805" w:rsidP="005A1805">
      <w:pPr>
        <w:spacing w:line="360" w:lineRule="auto"/>
        <w:ind w:firstLine="709"/>
        <w:jc w:val="both"/>
        <w:rPr>
          <w:rFonts w:ascii="Times New Roman" w:hAnsi="Times New Roman"/>
          <w:sz w:val="28"/>
          <w:szCs w:val="28"/>
          <w:lang w:val="uk-UA"/>
        </w:rPr>
      </w:pPr>
      <w:r w:rsidRPr="00A8464C">
        <w:rPr>
          <w:rFonts w:ascii="Times New Roman" w:hAnsi="Times New Roman"/>
          <w:sz w:val="28"/>
          <w:szCs w:val="28"/>
          <w:lang w:val="uk-UA"/>
        </w:rPr>
        <w:t xml:space="preserve">Запровадження в </w:t>
      </w:r>
      <w:r w:rsidR="009B1FB8" w:rsidRPr="00A8464C">
        <w:rPr>
          <w:rFonts w:ascii="Times New Roman" w:hAnsi="Times New Roman"/>
          <w:sz w:val="28"/>
          <w:szCs w:val="28"/>
          <w:lang w:val="uk-UA"/>
        </w:rPr>
        <w:t xml:space="preserve">новій редакції </w:t>
      </w:r>
      <w:r w:rsidRPr="00A8464C">
        <w:rPr>
          <w:rFonts w:ascii="Times New Roman" w:hAnsi="Times New Roman"/>
          <w:sz w:val="28"/>
          <w:szCs w:val="28"/>
          <w:lang w:val="uk-UA"/>
        </w:rPr>
        <w:t>Ц</w:t>
      </w:r>
      <w:r w:rsidR="009B1FB8" w:rsidRPr="00A8464C">
        <w:rPr>
          <w:rFonts w:ascii="Times New Roman" w:hAnsi="Times New Roman"/>
          <w:sz w:val="28"/>
          <w:szCs w:val="28"/>
          <w:lang w:val="uk-UA"/>
        </w:rPr>
        <w:t>П</w:t>
      </w:r>
      <w:r w:rsidRPr="00A8464C">
        <w:rPr>
          <w:rFonts w:ascii="Times New Roman" w:hAnsi="Times New Roman"/>
          <w:sz w:val="28"/>
          <w:szCs w:val="28"/>
          <w:lang w:val="uk-UA"/>
        </w:rPr>
        <w:t xml:space="preserve">К України </w:t>
      </w:r>
      <w:r w:rsidR="009B1FB8" w:rsidRPr="00A8464C">
        <w:rPr>
          <w:rFonts w:ascii="Times New Roman" w:hAnsi="Times New Roman"/>
          <w:sz w:val="28"/>
          <w:szCs w:val="28"/>
          <w:lang w:val="uk-UA"/>
        </w:rPr>
        <w:t>заходів</w:t>
      </w:r>
      <w:r w:rsidRPr="00A8464C">
        <w:rPr>
          <w:rFonts w:ascii="Times New Roman" w:hAnsi="Times New Roman"/>
          <w:sz w:val="28"/>
          <w:szCs w:val="28"/>
          <w:lang w:val="uk-UA"/>
        </w:rPr>
        <w:t xml:space="preserve"> </w:t>
      </w:r>
      <w:r w:rsidR="009B1FB8" w:rsidRPr="00A8464C">
        <w:rPr>
          <w:rFonts w:ascii="Times New Roman" w:hAnsi="Times New Roman"/>
          <w:sz w:val="28"/>
          <w:szCs w:val="28"/>
          <w:lang w:val="uk-UA"/>
        </w:rPr>
        <w:t xml:space="preserve">забезпечення позову </w:t>
      </w:r>
      <w:r w:rsidRPr="00A8464C">
        <w:rPr>
          <w:rFonts w:ascii="Times New Roman" w:hAnsi="Times New Roman"/>
          <w:sz w:val="28"/>
          <w:szCs w:val="28"/>
          <w:lang w:val="uk-UA"/>
        </w:rPr>
        <w:t xml:space="preserve">є позитивним зрушенням, зважаючи </w:t>
      </w:r>
      <w:r w:rsidR="009B1FB8" w:rsidRPr="00A8464C">
        <w:rPr>
          <w:rFonts w:ascii="Times New Roman" w:hAnsi="Times New Roman"/>
          <w:sz w:val="28"/>
          <w:szCs w:val="28"/>
          <w:lang w:val="uk-UA"/>
        </w:rPr>
        <w:t>розширення кола таких заходів, так і підстав для їх застосування, порівняно з попередньою редакцією ЦПК</w:t>
      </w:r>
      <w:r w:rsidRPr="00A8464C">
        <w:rPr>
          <w:rFonts w:ascii="Times New Roman" w:hAnsi="Times New Roman"/>
          <w:sz w:val="28"/>
          <w:szCs w:val="28"/>
          <w:lang w:val="uk-UA"/>
        </w:rPr>
        <w:t xml:space="preserve">. Однак слід відзначити наступні вади і прогалини законодавчого регулювання </w:t>
      </w:r>
      <w:r w:rsidR="00261F71" w:rsidRPr="00A8464C">
        <w:rPr>
          <w:rFonts w:ascii="Times New Roman" w:hAnsi="Times New Roman"/>
          <w:sz w:val="28"/>
          <w:szCs w:val="28"/>
          <w:lang w:val="uk-UA"/>
        </w:rPr>
        <w:t>таких заходів</w:t>
      </w:r>
      <w:r w:rsidRPr="00A8464C">
        <w:rPr>
          <w:rFonts w:ascii="Times New Roman" w:hAnsi="Times New Roman"/>
          <w:sz w:val="28"/>
          <w:szCs w:val="28"/>
          <w:lang w:val="uk-UA"/>
        </w:rPr>
        <w:t xml:space="preserve"> : 1) </w:t>
      </w:r>
      <w:r w:rsidR="00261F71" w:rsidRPr="00A8464C">
        <w:rPr>
          <w:rFonts w:ascii="Times New Roman" w:hAnsi="Times New Roman"/>
          <w:sz w:val="28"/>
          <w:szCs w:val="28"/>
          <w:lang w:val="uk-UA"/>
        </w:rPr>
        <w:t>наявність в ЦПК України</w:t>
      </w:r>
      <w:r w:rsidRPr="00A8464C">
        <w:rPr>
          <w:rFonts w:ascii="Times New Roman" w:hAnsi="Times New Roman"/>
          <w:sz w:val="28"/>
          <w:szCs w:val="28"/>
          <w:lang w:val="uk-UA"/>
        </w:rPr>
        <w:t xml:space="preserve"> термін</w:t>
      </w:r>
      <w:r w:rsidR="00261F71" w:rsidRPr="00A8464C">
        <w:rPr>
          <w:rFonts w:ascii="Times New Roman" w:hAnsi="Times New Roman"/>
          <w:sz w:val="28"/>
          <w:szCs w:val="28"/>
          <w:lang w:val="uk-UA"/>
        </w:rPr>
        <w:t>ів</w:t>
      </w:r>
      <w:r w:rsidRPr="00A8464C">
        <w:rPr>
          <w:rFonts w:ascii="Times New Roman" w:hAnsi="Times New Roman"/>
          <w:sz w:val="28"/>
          <w:szCs w:val="28"/>
          <w:lang w:val="uk-UA"/>
        </w:rPr>
        <w:t xml:space="preserve"> </w:t>
      </w:r>
      <w:r w:rsidR="00787A43" w:rsidRPr="00A8464C">
        <w:rPr>
          <w:rFonts w:ascii="Times New Roman" w:hAnsi="Times New Roman"/>
          <w:sz w:val="28"/>
          <w:szCs w:val="28"/>
          <w:lang w:val="uk-UA"/>
        </w:rPr>
        <w:t>«</w:t>
      </w:r>
      <w:r w:rsidR="00261F71" w:rsidRPr="00A8464C">
        <w:rPr>
          <w:rFonts w:ascii="Times New Roman" w:hAnsi="Times New Roman"/>
          <w:sz w:val="28"/>
          <w:szCs w:val="28"/>
          <w:lang w:val="uk-UA"/>
        </w:rPr>
        <w:t xml:space="preserve">заходи </w:t>
      </w:r>
      <w:r w:rsidR="00787A43" w:rsidRPr="00A8464C">
        <w:rPr>
          <w:rFonts w:ascii="Times New Roman" w:hAnsi="Times New Roman"/>
          <w:sz w:val="28"/>
          <w:szCs w:val="28"/>
          <w:lang w:val="uk-UA"/>
        </w:rPr>
        <w:t>забезпечення</w:t>
      </w:r>
      <w:r w:rsidR="00261F71" w:rsidRPr="00A8464C">
        <w:rPr>
          <w:rFonts w:ascii="Times New Roman" w:hAnsi="Times New Roman"/>
          <w:sz w:val="28"/>
          <w:szCs w:val="28"/>
          <w:lang w:val="uk-UA"/>
        </w:rPr>
        <w:t xml:space="preserve"> позову</w:t>
      </w:r>
      <w:r w:rsidR="00787A43" w:rsidRPr="00A8464C">
        <w:rPr>
          <w:rFonts w:ascii="Times New Roman" w:hAnsi="Times New Roman"/>
          <w:sz w:val="28"/>
          <w:szCs w:val="28"/>
          <w:lang w:val="uk-UA"/>
        </w:rPr>
        <w:t>»</w:t>
      </w:r>
      <w:r w:rsidR="00261F71" w:rsidRPr="00A8464C">
        <w:rPr>
          <w:rFonts w:ascii="Times New Roman" w:hAnsi="Times New Roman"/>
          <w:sz w:val="28"/>
          <w:szCs w:val="28"/>
          <w:lang w:val="uk-UA"/>
        </w:rPr>
        <w:t xml:space="preserve"> та «види забезпечення позову» без встановлення співвідношення між ними; 2) невичерпне коло таких забезпечувальних заходів в цивільному </w:t>
      </w:r>
      <w:r w:rsidR="00787A43" w:rsidRPr="00A8464C">
        <w:rPr>
          <w:rFonts w:ascii="Times New Roman" w:hAnsi="Times New Roman"/>
          <w:sz w:val="28"/>
          <w:szCs w:val="28"/>
          <w:lang w:val="uk-UA"/>
        </w:rPr>
        <w:t>п</w:t>
      </w:r>
      <w:r w:rsidR="00261F71" w:rsidRPr="00A8464C">
        <w:rPr>
          <w:rFonts w:ascii="Times New Roman" w:hAnsi="Times New Roman"/>
          <w:sz w:val="28"/>
          <w:szCs w:val="28"/>
          <w:lang w:val="uk-UA"/>
        </w:rPr>
        <w:t>роцесі</w:t>
      </w:r>
      <w:r w:rsidRPr="00A8464C">
        <w:rPr>
          <w:rFonts w:ascii="Times New Roman" w:hAnsi="Times New Roman"/>
          <w:sz w:val="28"/>
          <w:szCs w:val="28"/>
          <w:lang w:val="uk-UA"/>
        </w:rPr>
        <w:t xml:space="preserve">; 3) </w:t>
      </w:r>
      <w:proofErr w:type="spellStart"/>
      <w:r w:rsidRPr="00A8464C">
        <w:rPr>
          <w:rFonts w:ascii="Times New Roman" w:hAnsi="Times New Roman"/>
          <w:sz w:val="28"/>
          <w:szCs w:val="28"/>
          <w:lang w:val="uk-UA"/>
        </w:rPr>
        <w:t>неврегулювання</w:t>
      </w:r>
      <w:proofErr w:type="spellEnd"/>
      <w:r w:rsidRPr="00A8464C">
        <w:rPr>
          <w:rFonts w:ascii="Times New Roman" w:hAnsi="Times New Roman"/>
          <w:sz w:val="28"/>
          <w:szCs w:val="28"/>
          <w:lang w:val="uk-UA"/>
        </w:rPr>
        <w:t xml:space="preserve"> </w:t>
      </w:r>
      <w:r w:rsidR="00261F71" w:rsidRPr="00A8464C">
        <w:rPr>
          <w:rFonts w:ascii="Times New Roman" w:hAnsi="Times New Roman"/>
          <w:sz w:val="28"/>
          <w:szCs w:val="28"/>
          <w:lang w:val="uk-UA"/>
        </w:rPr>
        <w:t>цивільним законодавством видів, підстав та порядку забезпечення доказів в нотаріальній діяльності</w:t>
      </w:r>
      <w:r w:rsidRPr="00A8464C">
        <w:rPr>
          <w:rFonts w:ascii="Times New Roman" w:hAnsi="Times New Roman"/>
          <w:sz w:val="28"/>
          <w:szCs w:val="28"/>
          <w:lang w:val="uk-UA"/>
        </w:rPr>
        <w:t>.</w:t>
      </w:r>
    </w:p>
    <w:p w:rsidR="005A1805" w:rsidRPr="00A8464C" w:rsidRDefault="005A1805" w:rsidP="005A1805">
      <w:pPr>
        <w:pStyle w:val="a3"/>
        <w:ind w:left="0" w:firstLine="709"/>
        <w:rPr>
          <w:szCs w:val="28"/>
        </w:rPr>
      </w:pPr>
      <w:r w:rsidRPr="00A8464C">
        <w:rPr>
          <w:szCs w:val="28"/>
        </w:rPr>
        <w:t xml:space="preserve">Зазначене свідчить на користь того, що тему дисертаційного дослідження можна визнати актуальною, а звернення до неї – виправданим як з теоретичної, так і практичної точок зору. </w:t>
      </w:r>
    </w:p>
    <w:p w:rsidR="005A1805" w:rsidRPr="00A8464C" w:rsidRDefault="005A1805" w:rsidP="005A1805">
      <w:pPr>
        <w:tabs>
          <w:tab w:val="left" w:pos="2410"/>
        </w:tabs>
        <w:spacing w:line="360" w:lineRule="auto"/>
        <w:ind w:firstLine="709"/>
        <w:jc w:val="both"/>
        <w:rPr>
          <w:rFonts w:ascii="Times New Roman" w:hAnsi="Times New Roman"/>
          <w:sz w:val="28"/>
          <w:szCs w:val="28"/>
          <w:lang w:val="uk-UA"/>
        </w:rPr>
      </w:pPr>
      <w:r w:rsidRPr="00A8464C">
        <w:rPr>
          <w:rFonts w:ascii="Times New Roman" w:hAnsi="Times New Roman"/>
          <w:i/>
          <w:sz w:val="28"/>
          <w:szCs w:val="28"/>
          <w:lang w:val="uk-UA"/>
        </w:rPr>
        <w:t>Теоретичне і практичне значення дисертації</w:t>
      </w:r>
      <w:r w:rsidRPr="00A8464C">
        <w:rPr>
          <w:rFonts w:ascii="Times New Roman" w:hAnsi="Times New Roman"/>
          <w:sz w:val="28"/>
          <w:szCs w:val="28"/>
          <w:lang w:val="uk-UA"/>
        </w:rPr>
        <w:t xml:space="preserve"> полягає у тому, що розглянуті в ній положення та запропоновані пропозиції можуть використовуватись для подальшої наукової розробки та прикладного </w:t>
      </w:r>
      <w:r w:rsidRPr="00A8464C">
        <w:rPr>
          <w:rFonts w:ascii="Times New Roman" w:hAnsi="Times New Roman"/>
          <w:sz w:val="28"/>
          <w:szCs w:val="28"/>
          <w:lang w:val="uk-UA"/>
        </w:rPr>
        <w:lastRenderedPageBreak/>
        <w:t xml:space="preserve">дослідження </w:t>
      </w:r>
      <w:r w:rsidR="00787A43" w:rsidRPr="00A8464C">
        <w:rPr>
          <w:rFonts w:ascii="Times New Roman" w:hAnsi="Times New Roman"/>
          <w:sz w:val="28"/>
          <w:szCs w:val="28"/>
          <w:lang w:val="uk-UA"/>
        </w:rPr>
        <w:t>забезпечувальних заходів в цивільному процесі, нотаріальній діяльності та виконавчому провадженні</w:t>
      </w:r>
      <w:r w:rsidRPr="00A8464C">
        <w:rPr>
          <w:rFonts w:ascii="Times New Roman" w:hAnsi="Times New Roman"/>
          <w:sz w:val="28"/>
          <w:szCs w:val="28"/>
          <w:lang w:val="uk-UA"/>
        </w:rPr>
        <w:t xml:space="preserve">. Матеріали дисертаційного дослідження можуть бути використані в законотворчій діяльності при розробці нормативно-правових актів та в практичній діяльності адвокатів та суддів, нотаріусів, </w:t>
      </w:r>
      <w:r w:rsidR="00787A43" w:rsidRPr="00A8464C">
        <w:rPr>
          <w:rFonts w:ascii="Times New Roman" w:hAnsi="Times New Roman"/>
          <w:sz w:val="28"/>
          <w:szCs w:val="28"/>
          <w:lang w:val="uk-UA"/>
        </w:rPr>
        <w:t xml:space="preserve">виконавчої служби, </w:t>
      </w:r>
      <w:r w:rsidRPr="00A8464C">
        <w:rPr>
          <w:rFonts w:ascii="Times New Roman" w:hAnsi="Times New Roman"/>
          <w:sz w:val="28"/>
          <w:szCs w:val="28"/>
          <w:lang w:val="uk-UA"/>
        </w:rPr>
        <w:t>а також у навчальному процесі при викладенні дисципліни «Цивільн</w:t>
      </w:r>
      <w:r w:rsidR="00787A43" w:rsidRPr="00A8464C">
        <w:rPr>
          <w:rFonts w:ascii="Times New Roman" w:hAnsi="Times New Roman"/>
          <w:sz w:val="28"/>
          <w:szCs w:val="28"/>
          <w:lang w:val="uk-UA"/>
        </w:rPr>
        <w:t>е процесуальне право</w:t>
      </w:r>
      <w:r w:rsidRPr="00A8464C">
        <w:rPr>
          <w:rFonts w:ascii="Times New Roman" w:hAnsi="Times New Roman"/>
          <w:sz w:val="28"/>
          <w:szCs w:val="28"/>
          <w:lang w:val="uk-UA"/>
        </w:rPr>
        <w:t>», «</w:t>
      </w:r>
      <w:r w:rsidR="00787A43" w:rsidRPr="00A8464C">
        <w:rPr>
          <w:rFonts w:ascii="Times New Roman" w:hAnsi="Times New Roman"/>
          <w:sz w:val="28"/>
          <w:szCs w:val="28"/>
          <w:lang w:val="uk-UA"/>
        </w:rPr>
        <w:t>Нотаріат в Україні</w:t>
      </w:r>
      <w:r w:rsidRPr="00A8464C">
        <w:rPr>
          <w:rFonts w:ascii="Times New Roman" w:hAnsi="Times New Roman"/>
          <w:sz w:val="28"/>
          <w:szCs w:val="28"/>
          <w:lang w:val="uk-UA"/>
        </w:rPr>
        <w:t>», «</w:t>
      </w:r>
      <w:r w:rsidR="00787A43" w:rsidRPr="00A8464C">
        <w:rPr>
          <w:rFonts w:ascii="Times New Roman" w:hAnsi="Times New Roman"/>
          <w:sz w:val="28"/>
          <w:szCs w:val="28"/>
          <w:lang w:val="uk-UA"/>
        </w:rPr>
        <w:t>Виконавче провадження</w:t>
      </w:r>
      <w:r w:rsidRPr="00A8464C">
        <w:rPr>
          <w:rFonts w:ascii="Times New Roman" w:hAnsi="Times New Roman"/>
          <w:sz w:val="28"/>
          <w:szCs w:val="28"/>
          <w:lang w:val="uk-UA"/>
        </w:rPr>
        <w:t xml:space="preserve">». </w:t>
      </w:r>
    </w:p>
    <w:p w:rsidR="005A1805" w:rsidRPr="00A8464C" w:rsidRDefault="005A1805" w:rsidP="005A1805">
      <w:pPr>
        <w:tabs>
          <w:tab w:val="left" w:pos="2410"/>
        </w:tabs>
        <w:spacing w:line="360" w:lineRule="auto"/>
        <w:ind w:firstLine="709"/>
        <w:jc w:val="both"/>
        <w:rPr>
          <w:rFonts w:ascii="Times New Roman" w:hAnsi="Times New Roman"/>
          <w:sz w:val="28"/>
          <w:szCs w:val="28"/>
          <w:lang w:val="uk-UA"/>
        </w:rPr>
      </w:pPr>
      <w:r w:rsidRPr="00A8464C">
        <w:rPr>
          <w:rFonts w:ascii="Times New Roman" w:hAnsi="Times New Roman"/>
          <w:sz w:val="28"/>
          <w:szCs w:val="28"/>
          <w:lang w:val="uk-UA"/>
        </w:rPr>
        <w:t>Дисертанткою належно сформульовані мета і наукові завдання дослідження, їх формулювання та послідовність дозволяють розкрити основний зміст представленої теми. Об`єкт і предмет дисертаційного дослідження визначені у відповідності з вимогами Міністерства освіти і науки України. Методологічна основа дослідження дозволяє стверджувати, що охоплені матеріали в повній мірі сприяли дисертантці у вирішені наукових задач та досягненні поставленої мети.</w:t>
      </w:r>
    </w:p>
    <w:p w:rsidR="005A1805" w:rsidRPr="00A8464C" w:rsidRDefault="005A1805" w:rsidP="005A1805">
      <w:pPr>
        <w:tabs>
          <w:tab w:val="left" w:pos="2410"/>
        </w:tabs>
        <w:spacing w:line="360" w:lineRule="auto"/>
        <w:ind w:firstLine="709"/>
        <w:jc w:val="both"/>
        <w:rPr>
          <w:rFonts w:ascii="Times New Roman" w:hAnsi="Times New Roman"/>
          <w:sz w:val="28"/>
          <w:szCs w:val="28"/>
          <w:lang w:val="uk-UA"/>
        </w:rPr>
      </w:pPr>
      <w:r w:rsidRPr="00A8464C">
        <w:rPr>
          <w:rFonts w:ascii="Times New Roman" w:hAnsi="Times New Roman"/>
          <w:bCs/>
          <w:i/>
          <w:sz w:val="28"/>
          <w:szCs w:val="28"/>
          <w:lang w:val="uk-UA"/>
        </w:rPr>
        <w:t>Повнота викладу положень дисертації</w:t>
      </w:r>
      <w:r w:rsidRPr="00A8464C">
        <w:rPr>
          <w:rFonts w:ascii="Times New Roman" w:hAnsi="Times New Roman"/>
          <w:bCs/>
          <w:sz w:val="28"/>
          <w:szCs w:val="28"/>
          <w:lang w:val="uk-UA"/>
        </w:rPr>
        <w:t xml:space="preserve"> в роботах, опублікованих автором.</w:t>
      </w:r>
      <w:r w:rsidRPr="00A8464C">
        <w:rPr>
          <w:rFonts w:ascii="Times New Roman" w:hAnsi="Times New Roman"/>
          <w:iCs/>
          <w:sz w:val="28"/>
          <w:szCs w:val="28"/>
          <w:lang w:val="uk-UA"/>
        </w:rPr>
        <w:t xml:space="preserve"> </w:t>
      </w:r>
      <w:r w:rsidRPr="00A8464C">
        <w:rPr>
          <w:rFonts w:ascii="Times New Roman" w:hAnsi="Times New Roman"/>
          <w:sz w:val="28"/>
          <w:szCs w:val="28"/>
          <w:lang w:val="uk-UA"/>
        </w:rPr>
        <w:t>Основні положення дисертаційного дослідження Одосій О.Ю.</w:t>
      </w:r>
      <w:r w:rsidR="00AC10F0" w:rsidRPr="00A8464C">
        <w:rPr>
          <w:rFonts w:ascii="Times New Roman" w:hAnsi="Times New Roman"/>
          <w:sz w:val="28"/>
          <w:szCs w:val="28"/>
          <w:lang w:val="uk-UA"/>
        </w:rPr>
        <w:t xml:space="preserve"> </w:t>
      </w:r>
      <w:r w:rsidRPr="00A8464C">
        <w:rPr>
          <w:rFonts w:ascii="Times New Roman" w:hAnsi="Times New Roman"/>
          <w:sz w:val="28"/>
          <w:szCs w:val="28"/>
          <w:lang w:val="uk-UA"/>
        </w:rPr>
        <w:t xml:space="preserve">викладені в </w:t>
      </w:r>
      <w:r w:rsidR="00787A43" w:rsidRPr="00A8464C">
        <w:rPr>
          <w:rFonts w:ascii="Times New Roman" w:hAnsi="Times New Roman"/>
          <w:sz w:val="28"/>
          <w:szCs w:val="28"/>
          <w:lang w:val="uk-UA"/>
        </w:rPr>
        <w:t>:</w:t>
      </w:r>
      <w:r w:rsidRPr="00A8464C">
        <w:rPr>
          <w:rFonts w:ascii="Times New Roman" w:hAnsi="Times New Roman"/>
          <w:sz w:val="28"/>
          <w:szCs w:val="28"/>
          <w:lang w:val="uk-UA"/>
        </w:rPr>
        <w:t xml:space="preserve"> </w:t>
      </w:r>
      <w:r w:rsidR="00787A43" w:rsidRPr="00A8464C">
        <w:rPr>
          <w:rFonts w:ascii="Times New Roman" w:hAnsi="Times New Roman"/>
          <w:sz w:val="28"/>
          <w:szCs w:val="28"/>
          <w:lang w:val="uk-UA"/>
        </w:rPr>
        <w:t>5</w:t>
      </w:r>
      <w:r w:rsidRPr="00A8464C">
        <w:rPr>
          <w:rFonts w:ascii="Times New Roman" w:hAnsi="Times New Roman"/>
          <w:sz w:val="28"/>
          <w:szCs w:val="28"/>
          <w:lang w:val="uk-UA"/>
        </w:rPr>
        <w:t xml:space="preserve"> наукових працях, опублікованих у фахових наукових виданнях України, </w:t>
      </w:r>
      <w:r w:rsidR="00787A43" w:rsidRPr="00A8464C">
        <w:rPr>
          <w:rFonts w:ascii="Times New Roman" w:hAnsi="Times New Roman"/>
          <w:sz w:val="28"/>
          <w:szCs w:val="28"/>
          <w:lang w:val="uk-UA"/>
        </w:rPr>
        <w:t>2</w:t>
      </w:r>
      <w:r w:rsidRPr="00A8464C">
        <w:rPr>
          <w:rFonts w:ascii="Times New Roman" w:hAnsi="Times New Roman"/>
          <w:sz w:val="28"/>
          <w:szCs w:val="28"/>
          <w:lang w:val="uk-UA"/>
        </w:rPr>
        <w:t xml:space="preserve"> – у </w:t>
      </w:r>
      <w:r w:rsidR="00787A43" w:rsidRPr="00A8464C">
        <w:rPr>
          <w:rFonts w:ascii="Times New Roman" w:hAnsi="Times New Roman"/>
          <w:sz w:val="28"/>
          <w:szCs w:val="28"/>
          <w:lang w:val="uk-UA"/>
        </w:rPr>
        <w:t xml:space="preserve">іноземних періодичних </w:t>
      </w:r>
      <w:r w:rsidRPr="00A8464C">
        <w:rPr>
          <w:rFonts w:ascii="Times New Roman" w:hAnsi="Times New Roman"/>
          <w:sz w:val="28"/>
          <w:szCs w:val="28"/>
          <w:lang w:val="uk-UA"/>
        </w:rPr>
        <w:t>виданн</w:t>
      </w:r>
      <w:r w:rsidR="00787A43" w:rsidRPr="00A8464C">
        <w:rPr>
          <w:rFonts w:ascii="Times New Roman" w:hAnsi="Times New Roman"/>
          <w:sz w:val="28"/>
          <w:szCs w:val="28"/>
          <w:lang w:val="uk-UA"/>
        </w:rPr>
        <w:t>ях</w:t>
      </w:r>
      <w:r w:rsidRPr="00A8464C">
        <w:rPr>
          <w:rFonts w:ascii="Times New Roman" w:hAnsi="Times New Roman"/>
          <w:sz w:val="28"/>
          <w:szCs w:val="28"/>
          <w:lang w:val="uk-UA"/>
        </w:rPr>
        <w:t xml:space="preserve">, а також </w:t>
      </w:r>
      <w:r w:rsidR="00787A43" w:rsidRPr="00A8464C">
        <w:rPr>
          <w:rFonts w:ascii="Times New Roman" w:hAnsi="Times New Roman"/>
          <w:sz w:val="28"/>
          <w:szCs w:val="28"/>
          <w:lang w:val="uk-UA"/>
        </w:rPr>
        <w:t xml:space="preserve">7 </w:t>
      </w:r>
      <w:r w:rsidRPr="00A8464C">
        <w:rPr>
          <w:rFonts w:ascii="Times New Roman" w:hAnsi="Times New Roman"/>
          <w:sz w:val="28"/>
          <w:szCs w:val="28"/>
          <w:lang w:val="uk-UA"/>
        </w:rPr>
        <w:t>тезах доповідей на науково-практичних конференціях, круглих столах тощо. Зміст автореферату повністю відображає зміст тексту дисертації. Опубліковані наукові праці відповідають тематиці дослідження.</w:t>
      </w:r>
    </w:p>
    <w:p w:rsidR="005A1805" w:rsidRPr="00A8464C" w:rsidRDefault="005A1805" w:rsidP="005A1805">
      <w:pPr>
        <w:tabs>
          <w:tab w:val="left" w:pos="2410"/>
        </w:tabs>
        <w:spacing w:line="360" w:lineRule="auto"/>
        <w:ind w:firstLine="709"/>
        <w:jc w:val="both"/>
        <w:rPr>
          <w:rFonts w:ascii="Times New Roman" w:hAnsi="Times New Roman"/>
          <w:sz w:val="28"/>
          <w:szCs w:val="28"/>
          <w:lang w:val="uk-UA"/>
        </w:rPr>
      </w:pPr>
      <w:r w:rsidRPr="00A8464C">
        <w:rPr>
          <w:rFonts w:ascii="Times New Roman" w:hAnsi="Times New Roman"/>
          <w:bCs/>
          <w:i/>
          <w:sz w:val="28"/>
          <w:szCs w:val="28"/>
          <w:lang w:val="uk-UA"/>
        </w:rPr>
        <w:t>Оцінка обґрунтованості наукових положень, висновків і рекомендацій дисертації, їх достовірності та новизни</w:t>
      </w:r>
      <w:r w:rsidRPr="00A8464C">
        <w:rPr>
          <w:rFonts w:ascii="Times New Roman" w:hAnsi="Times New Roman"/>
          <w:sz w:val="28"/>
          <w:szCs w:val="28"/>
          <w:lang w:val="uk-UA"/>
        </w:rPr>
        <w:t>. Наукові положення, висновки і рекомендації, викладені в дисертації, мають достатній ступінь обґрунтованості, що свідчить про опрацювання дисертанткою в достатній мірі відповідного емпіричного матеріалу: Конституції України, законів і підзаконних нормативних актів, міжнародних нормативно-правових актів, а також судової практики.</w:t>
      </w:r>
      <w:r w:rsidRPr="00A8464C">
        <w:rPr>
          <w:rFonts w:ascii="Times New Roman" w:hAnsi="Times New Roman"/>
          <w:bCs/>
          <w:sz w:val="28"/>
          <w:szCs w:val="28"/>
          <w:lang w:val="uk-UA"/>
        </w:rPr>
        <w:t xml:space="preserve"> </w:t>
      </w:r>
      <w:r w:rsidRPr="00A8464C">
        <w:rPr>
          <w:rFonts w:ascii="Times New Roman" w:hAnsi="Times New Roman"/>
          <w:sz w:val="28"/>
          <w:szCs w:val="28"/>
          <w:lang w:val="uk-UA"/>
        </w:rPr>
        <w:t>Теоретичну основу тез, положень, висновків та пропозицій, які викладені автором в дисертаційному дослідженні, склали наукові праці відомих вітчизняних та іноземних цивілістів</w:t>
      </w:r>
      <w:r w:rsidR="00787A43" w:rsidRPr="00A8464C">
        <w:rPr>
          <w:rFonts w:ascii="Times New Roman" w:hAnsi="Times New Roman"/>
          <w:sz w:val="28"/>
          <w:szCs w:val="28"/>
          <w:lang w:val="uk-UA"/>
        </w:rPr>
        <w:t xml:space="preserve"> та представників </w:t>
      </w:r>
      <w:r w:rsidR="00AC10F0" w:rsidRPr="00A8464C">
        <w:rPr>
          <w:rFonts w:ascii="Times New Roman" w:hAnsi="Times New Roman"/>
          <w:sz w:val="28"/>
          <w:szCs w:val="28"/>
          <w:lang w:val="uk-UA"/>
        </w:rPr>
        <w:t xml:space="preserve">науки </w:t>
      </w:r>
      <w:r w:rsidR="00787A43" w:rsidRPr="00A8464C">
        <w:rPr>
          <w:rFonts w:ascii="Times New Roman" w:hAnsi="Times New Roman"/>
          <w:sz w:val="28"/>
          <w:szCs w:val="28"/>
          <w:lang w:val="uk-UA"/>
        </w:rPr>
        <w:t xml:space="preserve">цивільного </w:t>
      </w:r>
      <w:r w:rsidR="00787A43" w:rsidRPr="00A8464C">
        <w:rPr>
          <w:rFonts w:ascii="Times New Roman" w:hAnsi="Times New Roman"/>
          <w:sz w:val="28"/>
          <w:szCs w:val="28"/>
          <w:lang w:val="uk-UA"/>
        </w:rPr>
        <w:lastRenderedPageBreak/>
        <w:t>процесуального, нотаріального права</w:t>
      </w:r>
      <w:r w:rsidRPr="00A8464C">
        <w:rPr>
          <w:rFonts w:ascii="Times New Roman" w:hAnsi="Times New Roman"/>
          <w:sz w:val="28"/>
          <w:szCs w:val="28"/>
          <w:lang w:val="uk-UA"/>
        </w:rPr>
        <w:t>. Все це дозволило автору сформулювати низку обґрунтованих наукових висновків, положень, що мають ознаки повної або часткової новизни, а також практичні рекомендації, спрямовані на вдосконалення актів законодавства.</w:t>
      </w:r>
    </w:p>
    <w:p w:rsidR="005A1805" w:rsidRPr="00A8464C" w:rsidRDefault="005A1805" w:rsidP="005A1805">
      <w:pPr>
        <w:tabs>
          <w:tab w:val="left" w:pos="567"/>
          <w:tab w:val="left" w:pos="2410"/>
        </w:tabs>
        <w:spacing w:line="360" w:lineRule="auto"/>
        <w:ind w:firstLine="709"/>
        <w:jc w:val="both"/>
        <w:rPr>
          <w:rFonts w:ascii="Times New Roman" w:hAnsi="Times New Roman"/>
          <w:sz w:val="28"/>
          <w:szCs w:val="28"/>
          <w:lang w:val="uk-UA"/>
        </w:rPr>
      </w:pPr>
      <w:proofErr w:type="spellStart"/>
      <w:r w:rsidRPr="00A8464C">
        <w:rPr>
          <w:rFonts w:ascii="Times New Roman" w:hAnsi="Times New Roman"/>
          <w:sz w:val="28"/>
          <w:szCs w:val="28"/>
          <w:lang w:val="uk-UA"/>
        </w:rPr>
        <w:t>Обгрунтованість</w:t>
      </w:r>
      <w:proofErr w:type="spellEnd"/>
      <w:r w:rsidRPr="00A8464C">
        <w:rPr>
          <w:rFonts w:ascii="Times New Roman" w:hAnsi="Times New Roman"/>
          <w:sz w:val="28"/>
          <w:szCs w:val="28"/>
          <w:lang w:val="uk-UA"/>
        </w:rPr>
        <w:t xml:space="preserve"> і новизна наукових положень, викладених в дисертаційному дослідженні, полягає в тому, що автор на достатньому теоретичному рівні розкрила висновки щодо: </w:t>
      </w:r>
    </w:p>
    <w:p w:rsidR="005A72DA" w:rsidRPr="00A8464C" w:rsidRDefault="005A72DA" w:rsidP="005A1805">
      <w:pPr>
        <w:pStyle w:val="a7"/>
        <w:numPr>
          <w:ilvl w:val="0"/>
          <w:numId w:val="2"/>
        </w:numPr>
        <w:tabs>
          <w:tab w:val="left" w:pos="1276"/>
        </w:tabs>
        <w:spacing w:line="276" w:lineRule="auto"/>
        <w:ind w:left="0" w:firstLine="708"/>
        <w:jc w:val="both"/>
        <w:rPr>
          <w:sz w:val="28"/>
          <w:szCs w:val="28"/>
          <w:lang w:val="uk-UA"/>
        </w:rPr>
      </w:pPr>
      <w:r w:rsidRPr="00A8464C">
        <w:rPr>
          <w:sz w:val="28"/>
          <w:szCs w:val="28"/>
          <w:lang w:val="uk-UA"/>
        </w:rPr>
        <w:t>класифікаці</w:t>
      </w:r>
      <w:r w:rsidR="00AC10F0" w:rsidRPr="00A8464C">
        <w:rPr>
          <w:sz w:val="28"/>
          <w:szCs w:val="28"/>
          <w:lang w:val="uk-UA"/>
        </w:rPr>
        <w:t>ї</w:t>
      </w:r>
      <w:r w:rsidRPr="00A8464C">
        <w:rPr>
          <w:sz w:val="28"/>
          <w:szCs w:val="28"/>
          <w:lang w:val="uk-UA"/>
        </w:rPr>
        <w:t xml:space="preserve"> забезпечувальних заходів в цивілістичному процесі за різними критеріями;</w:t>
      </w:r>
    </w:p>
    <w:p w:rsidR="0083701F" w:rsidRPr="00A8464C" w:rsidRDefault="0083701F" w:rsidP="005A1805">
      <w:pPr>
        <w:pStyle w:val="a7"/>
        <w:numPr>
          <w:ilvl w:val="0"/>
          <w:numId w:val="2"/>
        </w:numPr>
        <w:tabs>
          <w:tab w:val="left" w:pos="1276"/>
        </w:tabs>
        <w:spacing w:line="276" w:lineRule="auto"/>
        <w:ind w:left="0" w:firstLine="708"/>
        <w:jc w:val="both"/>
        <w:rPr>
          <w:sz w:val="28"/>
          <w:szCs w:val="28"/>
          <w:lang w:val="uk-UA"/>
        </w:rPr>
      </w:pPr>
      <w:r w:rsidRPr="00A8464C">
        <w:rPr>
          <w:sz w:val="28"/>
          <w:szCs w:val="28"/>
          <w:lang w:val="uk-UA"/>
        </w:rPr>
        <w:t>визначення забезпечення цивільного позову;</w:t>
      </w:r>
    </w:p>
    <w:p w:rsidR="005A72DA" w:rsidRPr="00A8464C" w:rsidRDefault="005A72DA" w:rsidP="005A1805">
      <w:pPr>
        <w:pStyle w:val="a7"/>
        <w:numPr>
          <w:ilvl w:val="0"/>
          <w:numId w:val="2"/>
        </w:numPr>
        <w:tabs>
          <w:tab w:val="left" w:pos="1276"/>
        </w:tabs>
        <w:spacing w:line="276" w:lineRule="auto"/>
        <w:ind w:left="0" w:firstLine="708"/>
        <w:jc w:val="both"/>
        <w:rPr>
          <w:sz w:val="28"/>
          <w:szCs w:val="28"/>
          <w:lang w:val="uk-UA"/>
        </w:rPr>
      </w:pPr>
      <w:r w:rsidRPr="00A8464C">
        <w:rPr>
          <w:sz w:val="28"/>
          <w:szCs w:val="28"/>
          <w:lang w:val="uk-UA"/>
        </w:rPr>
        <w:t>необхідності закріплення в законодавстві України підстав для зняття заборони на відчуження нерухомого майна, адже зараз таких підстав не передбачено;</w:t>
      </w:r>
    </w:p>
    <w:p w:rsidR="005A72DA" w:rsidRPr="00A8464C" w:rsidRDefault="005A72DA" w:rsidP="005A1805">
      <w:pPr>
        <w:pStyle w:val="a7"/>
        <w:numPr>
          <w:ilvl w:val="0"/>
          <w:numId w:val="2"/>
        </w:numPr>
        <w:tabs>
          <w:tab w:val="left" w:pos="1276"/>
        </w:tabs>
        <w:spacing w:line="276" w:lineRule="auto"/>
        <w:ind w:left="0" w:firstLine="708"/>
        <w:jc w:val="both"/>
        <w:rPr>
          <w:sz w:val="28"/>
          <w:szCs w:val="28"/>
          <w:lang w:val="uk-UA"/>
        </w:rPr>
      </w:pPr>
      <w:r w:rsidRPr="00A8464C">
        <w:rPr>
          <w:sz w:val="28"/>
          <w:szCs w:val="28"/>
          <w:lang w:val="uk-UA"/>
        </w:rPr>
        <w:t>необхідн</w:t>
      </w:r>
      <w:r w:rsidR="00AC10F0" w:rsidRPr="00A8464C">
        <w:rPr>
          <w:sz w:val="28"/>
          <w:szCs w:val="28"/>
          <w:lang w:val="uk-UA"/>
        </w:rPr>
        <w:t>о</w:t>
      </w:r>
      <w:r w:rsidRPr="00A8464C">
        <w:rPr>
          <w:sz w:val="28"/>
          <w:szCs w:val="28"/>
          <w:lang w:val="uk-UA"/>
        </w:rPr>
        <w:t>ст</w:t>
      </w:r>
      <w:r w:rsidR="00AC10F0" w:rsidRPr="00A8464C">
        <w:rPr>
          <w:sz w:val="28"/>
          <w:szCs w:val="28"/>
          <w:lang w:val="uk-UA"/>
        </w:rPr>
        <w:t>і</w:t>
      </w:r>
      <w:r w:rsidRPr="00A8464C">
        <w:rPr>
          <w:sz w:val="28"/>
          <w:szCs w:val="28"/>
          <w:lang w:val="uk-UA"/>
        </w:rPr>
        <w:t xml:space="preserve"> визначення в законодавстві конкретних видів забезпечувальних заходів у виконавчому процесі;</w:t>
      </w:r>
    </w:p>
    <w:p w:rsidR="005A72DA" w:rsidRPr="00A8464C" w:rsidRDefault="005A72DA" w:rsidP="005A1805">
      <w:pPr>
        <w:pStyle w:val="a7"/>
        <w:numPr>
          <w:ilvl w:val="0"/>
          <w:numId w:val="2"/>
        </w:numPr>
        <w:tabs>
          <w:tab w:val="left" w:pos="1276"/>
        </w:tabs>
        <w:spacing w:line="276" w:lineRule="auto"/>
        <w:ind w:left="0" w:firstLine="708"/>
        <w:jc w:val="both"/>
        <w:rPr>
          <w:sz w:val="28"/>
          <w:szCs w:val="28"/>
          <w:lang w:val="uk-UA"/>
        </w:rPr>
      </w:pPr>
      <w:r w:rsidRPr="00A8464C">
        <w:rPr>
          <w:sz w:val="28"/>
          <w:szCs w:val="28"/>
          <w:lang w:val="uk-UA"/>
        </w:rPr>
        <w:t>розширення забезпечувальних заходів з охорони спадкового майна шляхом включення до їх переліку повідомлення нотаріусами спадкоємців про відкриття спадщини;</w:t>
      </w:r>
    </w:p>
    <w:p w:rsidR="00152BF6" w:rsidRPr="00A8464C" w:rsidRDefault="00152BF6" w:rsidP="005A1805">
      <w:pPr>
        <w:pStyle w:val="a7"/>
        <w:numPr>
          <w:ilvl w:val="0"/>
          <w:numId w:val="2"/>
        </w:numPr>
        <w:tabs>
          <w:tab w:val="left" w:pos="1276"/>
        </w:tabs>
        <w:spacing w:line="276" w:lineRule="auto"/>
        <w:ind w:left="0" w:firstLine="708"/>
        <w:jc w:val="both"/>
        <w:rPr>
          <w:sz w:val="28"/>
          <w:szCs w:val="28"/>
          <w:lang w:val="uk-UA"/>
        </w:rPr>
      </w:pPr>
      <w:r w:rsidRPr="00A8464C">
        <w:rPr>
          <w:sz w:val="28"/>
          <w:szCs w:val="28"/>
          <w:lang w:val="uk-UA"/>
        </w:rPr>
        <w:t>здійснено</w:t>
      </w:r>
      <w:r w:rsidR="00AC10F0" w:rsidRPr="00A8464C">
        <w:rPr>
          <w:sz w:val="28"/>
          <w:szCs w:val="28"/>
          <w:lang w:val="uk-UA"/>
        </w:rPr>
        <w:t>го</w:t>
      </w:r>
      <w:r w:rsidRPr="00A8464C">
        <w:rPr>
          <w:sz w:val="28"/>
          <w:szCs w:val="28"/>
          <w:lang w:val="uk-UA"/>
        </w:rPr>
        <w:t xml:space="preserve"> розмежування понять «забезпечувальні заходи у нотаріальному процесі» та «забезпечення доказів нотаріусом».</w:t>
      </w:r>
    </w:p>
    <w:p w:rsidR="005A1805" w:rsidRPr="00A8464C" w:rsidRDefault="005A1805" w:rsidP="005A1805">
      <w:pPr>
        <w:pStyle w:val="a7"/>
        <w:tabs>
          <w:tab w:val="left" w:pos="2410"/>
        </w:tabs>
        <w:spacing w:line="360" w:lineRule="auto"/>
        <w:ind w:left="0" w:firstLine="709"/>
        <w:jc w:val="both"/>
        <w:rPr>
          <w:sz w:val="28"/>
          <w:szCs w:val="28"/>
          <w:lang w:val="uk-UA"/>
        </w:rPr>
      </w:pPr>
      <w:r w:rsidRPr="00A8464C">
        <w:rPr>
          <w:sz w:val="28"/>
          <w:szCs w:val="28"/>
          <w:lang w:val="uk-UA"/>
        </w:rPr>
        <w:t xml:space="preserve">Дисертація виконана на належному науковому і професійному рівні. Тема дослідження </w:t>
      </w:r>
      <w:r w:rsidR="0083701F" w:rsidRPr="00A8464C">
        <w:rPr>
          <w:sz w:val="28"/>
          <w:szCs w:val="28"/>
          <w:lang w:val="uk-UA"/>
        </w:rPr>
        <w:t>в цілому</w:t>
      </w:r>
      <w:r w:rsidRPr="00A8464C">
        <w:rPr>
          <w:sz w:val="28"/>
          <w:szCs w:val="28"/>
          <w:lang w:val="uk-UA"/>
        </w:rPr>
        <w:t xml:space="preserve"> розкрита. Дисертантка показала </w:t>
      </w:r>
      <w:r w:rsidR="0083701F" w:rsidRPr="00A8464C">
        <w:rPr>
          <w:sz w:val="28"/>
          <w:szCs w:val="28"/>
          <w:lang w:val="uk-UA"/>
        </w:rPr>
        <w:t>достатн</w:t>
      </w:r>
      <w:r w:rsidRPr="00A8464C">
        <w:rPr>
          <w:sz w:val="28"/>
          <w:szCs w:val="28"/>
          <w:lang w:val="uk-UA"/>
        </w:rPr>
        <w:t xml:space="preserve">і знання по представленій темі, вміння аналізувати нормативні матеріали, спеціальну літературу, робити наукові обґрунтування, узагальнювати висновки. Отже дисертантка успішно виконала мету та задачі. Цьому також сприяла, зокрема раціональна структурна побудова дисертації, яка складається з вступу, трьох розділів та </w:t>
      </w:r>
      <w:r w:rsidR="0083701F" w:rsidRPr="00A8464C">
        <w:rPr>
          <w:sz w:val="28"/>
          <w:szCs w:val="28"/>
          <w:lang w:val="uk-UA"/>
        </w:rPr>
        <w:t>12</w:t>
      </w:r>
      <w:r w:rsidRPr="00A8464C">
        <w:rPr>
          <w:sz w:val="28"/>
          <w:szCs w:val="28"/>
          <w:lang w:val="uk-UA"/>
        </w:rPr>
        <w:t xml:space="preserve"> підрозділів.</w:t>
      </w:r>
    </w:p>
    <w:p w:rsidR="005A1805" w:rsidRPr="00A8464C" w:rsidRDefault="005A1805" w:rsidP="005A1805">
      <w:pPr>
        <w:tabs>
          <w:tab w:val="left" w:pos="2410"/>
        </w:tabs>
        <w:spacing w:line="360" w:lineRule="auto"/>
        <w:ind w:firstLine="709"/>
        <w:jc w:val="both"/>
        <w:rPr>
          <w:rFonts w:ascii="Times New Roman" w:hAnsi="Times New Roman"/>
          <w:sz w:val="28"/>
          <w:szCs w:val="28"/>
          <w:lang w:val="uk-UA"/>
        </w:rPr>
      </w:pPr>
      <w:r w:rsidRPr="00A8464C">
        <w:rPr>
          <w:rFonts w:ascii="Times New Roman" w:hAnsi="Times New Roman"/>
          <w:sz w:val="28"/>
          <w:szCs w:val="28"/>
          <w:lang w:val="uk-UA"/>
        </w:rPr>
        <w:t xml:space="preserve">У першому розділі </w:t>
      </w:r>
      <w:r w:rsidR="0083701F" w:rsidRPr="00A8464C">
        <w:rPr>
          <w:rFonts w:ascii="Times New Roman" w:hAnsi="Times New Roman"/>
          <w:sz w:val="28"/>
          <w:szCs w:val="28"/>
          <w:lang w:val="uk-UA"/>
        </w:rPr>
        <w:t>надана загальна характеристика інституту забезпечувальних заходів у цивілістичному процесі України</w:t>
      </w:r>
      <w:r w:rsidRPr="00A8464C">
        <w:rPr>
          <w:rFonts w:ascii="Times New Roman" w:hAnsi="Times New Roman"/>
          <w:sz w:val="28"/>
          <w:szCs w:val="28"/>
          <w:lang w:val="uk-UA"/>
        </w:rPr>
        <w:t>.</w:t>
      </w:r>
    </w:p>
    <w:p w:rsidR="005A1805" w:rsidRPr="00A8464C" w:rsidRDefault="005A1805" w:rsidP="005A1805">
      <w:pPr>
        <w:tabs>
          <w:tab w:val="left" w:pos="2410"/>
        </w:tabs>
        <w:spacing w:line="360" w:lineRule="auto"/>
        <w:ind w:firstLine="709"/>
        <w:jc w:val="both"/>
        <w:rPr>
          <w:rFonts w:ascii="Times New Roman" w:hAnsi="Times New Roman"/>
          <w:sz w:val="28"/>
          <w:szCs w:val="28"/>
          <w:lang w:val="uk-UA"/>
        </w:rPr>
      </w:pPr>
      <w:r w:rsidRPr="00A8464C">
        <w:rPr>
          <w:rFonts w:ascii="Times New Roman" w:hAnsi="Times New Roman"/>
          <w:sz w:val="28"/>
          <w:szCs w:val="28"/>
          <w:lang w:val="uk-UA"/>
        </w:rPr>
        <w:t xml:space="preserve">Заслуговує позитивної оцінки у 1 розділі дисертації те, що дисертантка досить глибоко аналізує поняття </w:t>
      </w:r>
      <w:r w:rsidR="00D32257" w:rsidRPr="00A8464C">
        <w:rPr>
          <w:rFonts w:ascii="Times New Roman" w:hAnsi="Times New Roman"/>
          <w:sz w:val="28"/>
          <w:szCs w:val="28"/>
          <w:lang w:val="uk-UA"/>
        </w:rPr>
        <w:t>забезпечувальних заходів з встановленням специфіки таких заходів у цивільному процесі, нотаріальній діяльності та виконавчому провадженні</w:t>
      </w:r>
      <w:r w:rsidRPr="00A8464C">
        <w:rPr>
          <w:rFonts w:ascii="Times New Roman" w:hAnsi="Times New Roman"/>
          <w:sz w:val="28"/>
          <w:szCs w:val="28"/>
          <w:lang w:val="uk-UA"/>
        </w:rPr>
        <w:t>. На підставі проведено</w:t>
      </w:r>
      <w:r w:rsidR="00D32257" w:rsidRPr="00A8464C">
        <w:rPr>
          <w:rFonts w:ascii="Times New Roman" w:hAnsi="Times New Roman"/>
          <w:sz w:val="28"/>
          <w:szCs w:val="28"/>
          <w:lang w:val="uk-UA"/>
        </w:rPr>
        <w:t xml:space="preserve">го аналізу дисертантка дійшла </w:t>
      </w:r>
      <w:r w:rsidR="00D32257" w:rsidRPr="00A8464C">
        <w:rPr>
          <w:rFonts w:ascii="Times New Roman" w:hAnsi="Times New Roman"/>
          <w:sz w:val="28"/>
          <w:szCs w:val="28"/>
          <w:lang w:val="uk-UA"/>
        </w:rPr>
        <w:lastRenderedPageBreak/>
        <w:t>правильного висновку про те, що інститут забезпечувальних заходів має міжгалузевий характер та сформулювала декілька класифікацій таких заходів за різними правовими крит</w:t>
      </w:r>
      <w:r w:rsidR="00803F1A" w:rsidRPr="00A8464C">
        <w:rPr>
          <w:rFonts w:ascii="Times New Roman" w:hAnsi="Times New Roman"/>
          <w:sz w:val="28"/>
          <w:szCs w:val="28"/>
          <w:lang w:val="uk-UA"/>
        </w:rPr>
        <w:t>е</w:t>
      </w:r>
      <w:r w:rsidR="00D32257" w:rsidRPr="00A8464C">
        <w:rPr>
          <w:rFonts w:ascii="Times New Roman" w:hAnsi="Times New Roman"/>
          <w:sz w:val="28"/>
          <w:szCs w:val="28"/>
          <w:lang w:val="uk-UA"/>
        </w:rPr>
        <w:t>ріями (с. 19-27)</w:t>
      </w:r>
      <w:r w:rsidRPr="00A8464C">
        <w:rPr>
          <w:rFonts w:ascii="Times New Roman" w:hAnsi="Times New Roman"/>
          <w:sz w:val="28"/>
          <w:szCs w:val="28"/>
          <w:lang w:val="uk-UA"/>
        </w:rPr>
        <w:t>.</w:t>
      </w:r>
      <w:r w:rsidR="00803F1A" w:rsidRPr="00A8464C">
        <w:rPr>
          <w:rFonts w:ascii="Times New Roman" w:hAnsi="Times New Roman"/>
          <w:sz w:val="28"/>
          <w:szCs w:val="28"/>
          <w:lang w:val="uk-UA"/>
        </w:rPr>
        <w:t xml:space="preserve"> Слід також підтримати авторське визначення заходів забезпечення виконання рішення суду (с. 40).</w:t>
      </w:r>
    </w:p>
    <w:p w:rsidR="005A1805" w:rsidRPr="00A8464C" w:rsidRDefault="005A1805" w:rsidP="005A1805">
      <w:pPr>
        <w:tabs>
          <w:tab w:val="left" w:pos="2410"/>
        </w:tabs>
        <w:spacing w:line="360" w:lineRule="auto"/>
        <w:ind w:firstLine="709"/>
        <w:jc w:val="both"/>
        <w:rPr>
          <w:rFonts w:ascii="Times New Roman" w:hAnsi="Times New Roman"/>
          <w:sz w:val="28"/>
          <w:szCs w:val="28"/>
          <w:lang w:val="uk-UA"/>
        </w:rPr>
      </w:pPr>
      <w:r w:rsidRPr="00A8464C">
        <w:rPr>
          <w:rFonts w:ascii="Times New Roman" w:hAnsi="Times New Roman"/>
          <w:sz w:val="28"/>
          <w:szCs w:val="28"/>
          <w:lang w:val="uk-UA"/>
        </w:rPr>
        <w:t xml:space="preserve">У другому розділі дисертантка зосередила увагу на </w:t>
      </w:r>
      <w:r w:rsidR="00803F1A" w:rsidRPr="00A8464C">
        <w:rPr>
          <w:rFonts w:ascii="Times New Roman" w:hAnsi="Times New Roman"/>
          <w:sz w:val="28"/>
          <w:szCs w:val="28"/>
          <w:lang w:val="uk-UA"/>
        </w:rPr>
        <w:t>характеристиці забезпечувальних заходів в нотаріальному процесі</w:t>
      </w:r>
      <w:r w:rsidRPr="00A8464C">
        <w:rPr>
          <w:rFonts w:ascii="Times New Roman" w:hAnsi="Times New Roman"/>
          <w:sz w:val="28"/>
          <w:szCs w:val="28"/>
          <w:lang w:val="uk-UA"/>
        </w:rPr>
        <w:t>.</w:t>
      </w:r>
      <w:r w:rsidR="00803F1A" w:rsidRPr="00A8464C">
        <w:rPr>
          <w:rFonts w:ascii="Times New Roman" w:hAnsi="Times New Roman"/>
          <w:sz w:val="28"/>
          <w:szCs w:val="28"/>
          <w:lang w:val="uk-UA"/>
        </w:rPr>
        <w:t xml:space="preserve"> При цьому дисертантка сформулювала власне визначення таких заходів та розкрила їх зміст</w:t>
      </w:r>
      <w:r w:rsidR="00152BF6" w:rsidRPr="00A8464C">
        <w:rPr>
          <w:rFonts w:ascii="Times New Roman" w:hAnsi="Times New Roman"/>
          <w:sz w:val="28"/>
          <w:szCs w:val="28"/>
          <w:lang w:val="uk-UA"/>
        </w:rPr>
        <w:t>. Звертається увага на відсутність закріплення в законодавстві процедур забезпечення доказів нотаріусом, відтак дисертанткою сформульовано пропозиції щодо заповнення такої прогалини (с. 51-52), а також здійснено критичний аналіз законопроекту «Про внесення змін до деяких законодавчих акті України щодо забезпечення доказів нотаріусом». На підставі цього, дисертанткою запропоновано шляхи вирішення зазначених проблем, які заслуговують на увагу (с. 53-54)</w:t>
      </w:r>
      <w:r w:rsidR="00A373D7" w:rsidRPr="00A8464C">
        <w:rPr>
          <w:rFonts w:ascii="Times New Roman" w:hAnsi="Times New Roman"/>
          <w:sz w:val="28"/>
          <w:szCs w:val="28"/>
          <w:lang w:val="uk-UA"/>
        </w:rPr>
        <w:t>, а також сформульовано ряд пропозицій по внесенню змін до законодавства України у сфері вжиття заходів до охорони спадкового майна (с. 74)</w:t>
      </w:r>
      <w:r w:rsidR="00152BF6" w:rsidRPr="00A8464C">
        <w:rPr>
          <w:rFonts w:ascii="Times New Roman" w:hAnsi="Times New Roman"/>
          <w:sz w:val="28"/>
          <w:szCs w:val="28"/>
          <w:lang w:val="uk-UA"/>
        </w:rPr>
        <w:t>.</w:t>
      </w:r>
    </w:p>
    <w:p w:rsidR="00A87517" w:rsidRPr="00A8464C" w:rsidRDefault="005A1805" w:rsidP="005A1805">
      <w:pPr>
        <w:tabs>
          <w:tab w:val="left" w:pos="2410"/>
        </w:tabs>
        <w:spacing w:line="360" w:lineRule="auto"/>
        <w:ind w:firstLine="709"/>
        <w:jc w:val="both"/>
        <w:rPr>
          <w:rFonts w:ascii="Times New Roman" w:hAnsi="Times New Roman"/>
          <w:sz w:val="28"/>
          <w:szCs w:val="28"/>
          <w:lang w:val="uk-UA"/>
        </w:rPr>
      </w:pPr>
      <w:r w:rsidRPr="00A8464C">
        <w:rPr>
          <w:rFonts w:ascii="Times New Roman" w:hAnsi="Times New Roman"/>
          <w:sz w:val="28"/>
          <w:szCs w:val="28"/>
          <w:lang w:val="uk-UA"/>
        </w:rPr>
        <w:t>У третьому розділі дисертантка зосередила увагу на</w:t>
      </w:r>
      <w:r w:rsidR="00A373D7" w:rsidRPr="00A8464C">
        <w:rPr>
          <w:rFonts w:ascii="Times New Roman" w:hAnsi="Times New Roman"/>
          <w:sz w:val="28"/>
          <w:szCs w:val="28"/>
          <w:lang w:val="uk-UA"/>
        </w:rPr>
        <w:t xml:space="preserve"> аналізі забезпечувальних заходів в цивільному та виконавчому процесах</w:t>
      </w:r>
      <w:r w:rsidRPr="00A8464C">
        <w:rPr>
          <w:rFonts w:ascii="Times New Roman" w:hAnsi="Times New Roman"/>
          <w:sz w:val="28"/>
          <w:szCs w:val="28"/>
          <w:lang w:val="uk-UA"/>
        </w:rPr>
        <w:t xml:space="preserve">. </w:t>
      </w:r>
      <w:r w:rsidR="00A87517" w:rsidRPr="00A8464C">
        <w:rPr>
          <w:rFonts w:ascii="Times New Roman" w:hAnsi="Times New Roman"/>
          <w:sz w:val="28"/>
          <w:szCs w:val="28"/>
          <w:lang w:val="uk-UA"/>
        </w:rPr>
        <w:t>Заслуговує на увагу класифікація засобів забезпечення позову (с. 114).</w:t>
      </w:r>
    </w:p>
    <w:p w:rsidR="00A87517" w:rsidRPr="00A8464C" w:rsidRDefault="00A87517" w:rsidP="005A1805">
      <w:pPr>
        <w:tabs>
          <w:tab w:val="left" w:pos="2410"/>
        </w:tabs>
        <w:spacing w:line="360" w:lineRule="auto"/>
        <w:ind w:firstLine="709"/>
        <w:jc w:val="both"/>
        <w:rPr>
          <w:rFonts w:ascii="Times New Roman" w:hAnsi="Times New Roman"/>
          <w:sz w:val="28"/>
          <w:szCs w:val="28"/>
          <w:lang w:val="uk-UA"/>
        </w:rPr>
      </w:pPr>
      <w:r w:rsidRPr="00A8464C">
        <w:rPr>
          <w:rFonts w:ascii="Times New Roman" w:hAnsi="Times New Roman"/>
          <w:sz w:val="28"/>
          <w:szCs w:val="28"/>
          <w:lang w:val="uk-UA"/>
        </w:rPr>
        <w:t xml:space="preserve">Дисертанткою також сформульоване власне визначення накладення арешту на майно та (або грошові кошти ) (с. 145), </w:t>
      </w:r>
      <w:proofErr w:type="spellStart"/>
      <w:r w:rsidRPr="00A8464C">
        <w:rPr>
          <w:rFonts w:ascii="Times New Roman" w:hAnsi="Times New Roman"/>
          <w:sz w:val="28"/>
          <w:szCs w:val="28"/>
          <w:lang w:val="uk-UA"/>
        </w:rPr>
        <w:t>обгрунтовано</w:t>
      </w:r>
      <w:proofErr w:type="spellEnd"/>
      <w:r w:rsidRPr="00A8464C">
        <w:rPr>
          <w:rFonts w:ascii="Times New Roman" w:hAnsi="Times New Roman"/>
          <w:sz w:val="28"/>
          <w:szCs w:val="28"/>
          <w:lang w:val="uk-UA"/>
        </w:rPr>
        <w:t xml:space="preserve"> доцільність законодавчого закріплення в ст. 150 ЦПК норми про неможливість </w:t>
      </w:r>
      <w:proofErr w:type="spellStart"/>
      <w:r w:rsidRPr="00A8464C">
        <w:rPr>
          <w:rFonts w:ascii="Times New Roman" w:hAnsi="Times New Roman"/>
          <w:sz w:val="28"/>
          <w:szCs w:val="28"/>
          <w:lang w:val="uk-UA"/>
        </w:rPr>
        <w:t>необгрунтованого</w:t>
      </w:r>
      <w:proofErr w:type="spellEnd"/>
      <w:r w:rsidRPr="00A8464C">
        <w:rPr>
          <w:rFonts w:ascii="Times New Roman" w:hAnsi="Times New Roman"/>
          <w:sz w:val="28"/>
          <w:szCs w:val="28"/>
          <w:lang w:val="uk-UA"/>
        </w:rPr>
        <w:t xml:space="preserve"> накладення арешту на рахунки відповідача (с. 145).</w:t>
      </w:r>
    </w:p>
    <w:p w:rsidR="005A1805" w:rsidRPr="00A8464C" w:rsidRDefault="005A1805" w:rsidP="005A1805">
      <w:pPr>
        <w:tabs>
          <w:tab w:val="left" w:pos="2410"/>
        </w:tabs>
        <w:spacing w:line="360" w:lineRule="auto"/>
        <w:ind w:firstLine="709"/>
        <w:jc w:val="both"/>
        <w:rPr>
          <w:rFonts w:ascii="Times New Roman" w:hAnsi="Times New Roman"/>
          <w:sz w:val="28"/>
          <w:szCs w:val="28"/>
          <w:lang w:val="uk-UA"/>
        </w:rPr>
      </w:pPr>
      <w:r w:rsidRPr="00A8464C">
        <w:rPr>
          <w:rFonts w:ascii="Times New Roman" w:hAnsi="Times New Roman"/>
          <w:sz w:val="28"/>
          <w:szCs w:val="28"/>
          <w:lang w:val="uk-UA"/>
        </w:rPr>
        <w:t xml:space="preserve">Особливу увагу у 3 розділі приділено </w:t>
      </w:r>
      <w:r w:rsidR="00A87517" w:rsidRPr="00A8464C">
        <w:rPr>
          <w:rFonts w:ascii="Times New Roman" w:hAnsi="Times New Roman"/>
          <w:sz w:val="28"/>
          <w:szCs w:val="28"/>
          <w:lang w:val="uk-UA"/>
        </w:rPr>
        <w:t>вирішенню судом</w:t>
      </w:r>
      <w:r w:rsidRPr="00A8464C">
        <w:rPr>
          <w:rFonts w:ascii="Times New Roman" w:hAnsi="Times New Roman"/>
          <w:sz w:val="28"/>
          <w:szCs w:val="28"/>
          <w:lang w:val="uk-UA"/>
        </w:rPr>
        <w:t xml:space="preserve"> </w:t>
      </w:r>
      <w:r w:rsidR="00A87517" w:rsidRPr="00A8464C">
        <w:rPr>
          <w:rFonts w:ascii="Times New Roman" w:hAnsi="Times New Roman"/>
          <w:sz w:val="28"/>
          <w:szCs w:val="28"/>
          <w:lang w:val="uk-UA"/>
        </w:rPr>
        <w:t>питання про забезпечення позову та зустрічне забезпечення, в результаті якого дисертанткою визначено прогалини і суперечності у процесуальному законодавстві та запропоновано шляхи їх заповнення та подолання (с. 155).</w:t>
      </w:r>
      <w:r w:rsidR="0067169B" w:rsidRPr="00A8464C">
        <w:rPr>
          <w:rFonts w:ascii="Times New Roman" w:hAnsi="Times New Roman"/>
          <w:sz w:val="28"/>
          <w:szCs w:val="28"/>
          <w:lang w:val="uk-UA"/>
        </w:rPr>
        <w:t xml:space="preserve"> Дисертантко також здійснено порівняльний аналіз інституту забезпечення позову за різними редакціями ЦПК, що сприяло більш повному розкриттю досліджуваного питання.</w:t>
      </w:r>
    </w:p>
    <w:p w:rsidR="0067169B" w:rsidRPr="00A8464C" w:rsidRDefault="0067169B" w:rsidP="005A1805">
      <w:pPr>
        <w:pStyle w:val="a3"/>
        <w:tabs>
          <w:tab w:val="left" w:pos="2410"/>
        </w:tabs>
        <w:ind w:left="0" w:right="-2" w:firstLine="709"/>
        <w:rPr>
          <w:szCs w:val="28"/>
        </w:rPr>
      </w:pPr>
      <w:r w:rsidRPr="00A8464C">
        <w:rPr>
          <w:szCs w:val="28"/>
        </w:rPr>
        <w:lastRenderedPageBreak/>
        <w:t>Не залишились поза увагою автора також заходи забезпечення виконання рішення, а також передачі виконавцем на зберігання арештованого майна боржника. При цьому дисертантка дослідила поняття та ознаки виконавчого секвестру (с. 180), а також визначила основні умови для його застосування (с. 182), і сформулювала основні ознаки зберігання майна боржника, на яке накладено арешт (с. 187).</w:t>
      </w:r>
    </w:p>
    <w:p w:rsidR="005A1805" w:rsidRPr="00A8464C" w:rsidRDefault="005A1805" w:rsidP="005A1805">
      <w:pPr>
        <w:pStyle w:val="a3"/>
        <w:tabs>
          <w:tab w:val="left" w:pos="2410"/>
        </w:tabs>
        <w:ind w:left="0" w:right="-2" w:firstLine="709"/>
        <w:rPr>
          <w:szCs w:val="28"/>
        </w:rPr>
      </w:pPr>
      <w:r w:rsidRPr="00A8464C">
        <w:rPr>
          <w:szCs w:val="28"/>
        </w:rPr>
        <w:t>Поряд із положеннями, які заслуговують на позитивну оцінку дисертація, на наш погляд, містить дискусійні положення, які потребують додаткового обґрунтування, спірні судження, з якими не можна беззастережно погодитись.</w:t>
      </w:r>
    </w:p>
    <w:p w:rsidR="00213B3C" w:rsidRPr="00A8464C" w:rsidRDefault="00213B3C" w:rsidP="005A1805">
      <w:pPr>
        <w:pStyle w:val="a7"/>
        <w:numPr>
          <w:ilvl w:val="0"/>
          <w:numId w:val="1"/>
        </w:numPr>
        <w:spacing w:line="360" w:lineRule="auto"/>
        <w:ind w:left="0" w:firstLine="709"/>
        <w:jc w:val="both"/>
        <w:rPr>
          <w:sz w:val="28"/>
          <w:szCs w:val="28"/>
          <w:lang w:val="uk-UA"/>
        </w:rPr>
      </w:pPr>
      <w:r w:rsidRPr="00A8464C">
        <w:rPr>
          <w:sz w:val="28"/>
          <w:szCs w:val="28"/>
          <w:lang w:val="uk-UA"/>
        </w:rPr>
        <w:t xml:space="preserve">Загальновідомо, що успіх будь-якого дисертаційного дослідження багато в чому залежить від оптимальної її структурної побудови. </w:t>
      </w:r>
      <w:r w:rsidR="003644F9" w:rsidRPr="00A8464C">
        <w:rPr>
          <w:sz w:val="28"/>
          <w:szCs w:val="28"/>
          <w:lang w:val="uk-UA"/>
        </w:rPr>
        <w:t>С</w:t>
      </w:r>
      <w:r w:rsidRPr="00A8464C">
        <w:rPr>
          <w:sz w:val="28"/>
          <w:szCs w:val="28"/>
          <w:lang w:val="uk-UA"/>
        </w:rPr>
        <w:t xml:space="preserve">труктурна побудова дисертації </w:t>
      </w:r>
      <w:r w:rsidR="003644F9" w:rsidRPr="00A8464C">
        <w:rPr>
          <w:sz w:val="28"/>
          <w:szCs w:val="28"/>
          <w:lang w:val="uk-UA"/>
        </w:rPr>
        <w:t xml:space="preserve">Одосій О.Ю. </w:t>
      </w:r>
      <w:r w:rsidRPr="00A8464C">
        <w:rPr>
          <w:sz w:val="28"/>
          <w:szCs w:val="28"/>
          <w:lang w:val="uk-UA"/>
        </w:rPr>
        <w:t>є досить раціональн</w:t>
      </w:r>
      <w:r w:rsidR="005A1805" w:rsidRPr="00A8464C">
        <w:rPr>
          <w:sz w:val="28"/>
          <w:szCs w:val="28"/>
          <w:lang w:val="uk-UA"/>
        </w:rPr>
        <w:t>ою</w:t>
      </w:r>
      <w:r w:rsidRPr="00A8464C">
        <w:rPr>
          <w:sz w:val="28"/>
          <w:szCs w:val="28"/>
          <w:lang w:val="uk-UA"/>
        </w:rPr>
        <w:t>, що сприяло всебічному висвітленню усіх найважливіших питань обраної теми.</w:t>
      </w:r>
    </w:p>
    <w:p w:rsidR="005A1805" w:rsidRPr="00A8464C" w:rsidRDefault="003644F9" w:rsidP="003644F9">
      <w:pPr>
        <w:pStyle w:val="a7"/>
        <w:spacing w:line="360" w:lineRule="auto"/>
        <w:ind w:left="0" w:firstLine="709"/>
        <w:jc w:val="both"/>
        <w:rPr>
          <w:sz w:val="28"/>
          <w:szCs w:val="28"/>
          <w:lang w:val="uk-UA"/>
        </w:rPr>
      </w:pPr>
      <w:r w:rsidRPr="00A8464C">
        <w:rPr>
          <w:sz w:val="28"/>
          <w:szCs w:val="28"/>
          <w:lang w:val="uk-UA"/>
        </w:rPr>
        <w:t>Однак у</w:t>
      </w:r>
      <w:r w:rsidR="00213B3C" w:rsidRPr="00A8464C">
        <w:rPr>
          <w:sz w:val="28"/>
          <w:szCs w:val="28"/>
          <w:lang w:val="uk-UA"/>
        </w:rPr>
        <w:t xml:space="preserve"> даному випадку назви підрозділів неадекватно відображають питання першого розділу, який має назву «Загально-теоретична характеристика інституту забезпечувальн</w:t>
      </w:r>
      <w:r w:rsidRPr="00A8464C">
        <w:rPr>
          <w:sz w:val="28"/>
          <w:szCs w:val="28"/>
          <w:lang w:val="uk-UA"/>
        </w:rPr>
        <w:t>и</w:t>
      </w:r>
      <w:r w:rsidR="00213B3C" w:rsidRPr="00A8464C">
        <w:rPr>
          <w:sz w:val="28"/>
          <w:szCs w:val="28"/>
          <w:lang w:val="uk-UA"/>
        </w:rPr>
        <w:t xml:space="preserve">х заходів у цивілістичному процесі України», оскільки назва першого підрозділу практично співпадає з назвою всього 1 розділу, що методологічно дещо некоректно. </w:t>
      </w:r>
      <w:r w:rsidR="00AC10F0" w:rsidRPr="00A8464C">
        <w:rPr>
          <w:sz w:val="28"/>
          <w:szCs w:val="28"/>
          <w:lang w:val="uk-UA"/>
        </w:rPr>
        <w:t>Крім того</w:t>
      </w:r>
      <w:r w:rsidR="00213B3C" w:rsidRPr="00A8464C">
        <w:rPr>
          <w:sz w:val="28"/>
          <w:szCs w:val="28"/>
          <w:lang w:val="uk-UA"/>
        </w:rPr>
        <w:t xml:space="preserve">, в цьому підрозділі мова фактично йде про поняття та ознаки забезпечувальних заходів. </w:t>
      </w:r>
      <w:r w:rsidR="00AC10F0" w:rsidRPr="00A8464C">
        <w:rPr>
          <w:sz w:val="28"/>
          <w:szCs w:val="28"/>
          <w:lang w:val="uk-UA"/>
        </w:rPr>
        <w:t>Також</w:t>
      </w:r>
      <w:r w:rsidRPr="00A8464C">
        <w:rPr>
          <w:sz w:val="28"/>
          <w:szCs w:val="28"/>
          <w:lang w:val="uk-UA"/>
        </w:rPr>
        <w:t xml:space="preserve"> у</w:t>
      </w:r>
      <w:r w:rsidR="00213B3C" w:rsidRPr="00A8464C">
        <w:rPr>
          <w:sz w:val="28"/>
          <w:szCs w:val="28"/>
          <w:lang w:val="uk-UA"/>
        </w:rPr>
        <w:t xml:space="preserve"> другому підрозділі було б доцільно розглядати не лише сутність забезпечувальних заходів, але і їх види, що логічно б визначало проблеми, що розглядаються в наступних розділах. </w:t>
      </w:r>
    </w:p>
    <w:p w:rsidR="004A69C4" w:rsidRPr="00A8464C" w:rsidRDefault="004A69C4" w:rsidP="005A1805">
      <w:pPr>
        <w:pStyle w:val="a7"/>
        <w:numPr>
          <w:ilvl w:val="0"/>
          <w:numId w:val="1"/>
        </w:numPr>
        <w:tabs>
          <w:tab w:val="left" w:pos="1276"/>
        </w:tabs>
        <w:spacing w:line="360" w:lineRule="auto"/>
        <w:ind w:left="0" w:firstLine="709"/>
        <w:jc w:val="both"/>
        <w:rPr>
          <w:sz w:val="28"/>
          <w:szCs w:val="28"/>
          <w:lang w:val="uk-UA"/>
        </w:rPr>
      </w:pPr>
      <w:r w:rsidRPr="00A8464C">
        <w:rPr>
          <w:sz w:val="28"/>
          <w:szCs w:val="28"/>
          <w:lang w:val="uk-UA"/>
        </w:rPr>
        <w:t>Даючи визначення забезпечувальних заходів в цивілістичному процесі в п. 1 науков</w:t>
      </w:r>
      <w:r w:rsidR="00252E4A" w:rsidRPr="00A8464C">
        <w:rPr>
          <w:sz w:val="28"/>
          <w:szCs w:val="28"/>
          <w:lang w:val="uk-UA"/>
        </w:rPr>
        <w:t xml:space="preserve">ої новизни, дисертантка відзначає одну з особливостей таких заходів, що проявляється в тому, що вони застосовуються як в цивільному процесі, так і в нотаріальному процесі та виконавчому провадженні. Однак визначаючи їх як систему дій учасників, дисертантка не уточнює критерії тих заходів, які мають вважатися забезпечувальними, що сприяло б більш розкриттю дисертанткою своєї позиції щодо розуміння забезпечувальних заходів повною мірою. Крім того, дисертантка далі пропонує </w:t>
      </w:r>
      <w:r w:rsidR="00252E4A" w:rsidRPr="00A8464C">
        <w:rPr>
          <w:sz w:val="28"/>
          <w:szCs w:val="28"/>
          <w:lang w:val="uk-UA"/>
        </w:rPr>
        <w:lastRenderedPageBreak/>
        <w:t>відмежовувати комплекс встановлених у законодавстві забезпечувальних заходів як варіантів дій учасників у тій чи іншій ситуації, а також систем</w:t>
      </w:r>
      <w:r w:rsidR="00AC10F0" w:rsidRPr="00A8464C">
        <w:rPr>
          <w:sz w:val="28"/>
          <w:szCs w:val="28"/>
          <w:lang w:val="uk-UA"/>
        </w:rPr>
        <w:t>н</w:t>
      </w:r>
      <w:r w:rsidR="00252E4A" w:rsidRPr="00A8464C">
        <w:rPr>
          <w:sz w:val="28"/>
          <w:szCs w:val="28"/>
          <w:lang w:val="uk-UA"/>
        </w:rPr>
        <w:t>у модель законодавчо встановлених повноважень посадових осіб, не визначаючи при цьому мети і значення такого розмежування.</w:t>
      </w:r>
    </w:p>
    <w:p w:rsidR="00252E4A" w:rsidRPr="00A8464C" w:rsidRDefault="00252E4A" w:rsidP="005A1805">
      <w:pPr>
        <w:pStyle w:val="a7"/>
        <w:numPr>
          <w:ilvl w:val="0"/>
          <w:numId w:val="1"/>
        </w:numPr>
        <w:tabs>
          <w:tab w:val="left" w:pos="1276"/>
        </w:tabs>
        <w:spacing w:line="360" w:lineRule="auto"/>
        <w:ind w:left="0" w:firstLine="709"/>
        <w:jc w:val="both"/>
        <w:rPr>
          <w:sz w:val="28"/>
          <w:szCs w:val="28"/>
          <w:lang w:val="uk-UA"/>
        </w:rPr>
      </w:pPr>
      <w:r w:rsidRPr="00A8464C">
        <w:rPr>
          <w:sz w:val="28"/>
          <w:szCs w:val="28"/>
          <w:lang w:val="uk-UA"/>
        </w:rPr>
        <w:t xml:space="preserve">Не безспірною є позиція дисертантки щодо доцільності поширення норм про встановлення забезпечувальних заходів щодо неприпустимості зловживання процесуальними правами не лише на учасників судового процесу, але і на суд. Зазначена позиція </w:t>
      </w:r>
      <w:r w:rsidR="00C2456F" w:rsidRPr="00A8464C">
        <w:rPr>
          <w:sz w:val="28"/>
          <w:szCs w:val="28"/>
          <w:lang w:val="uk-UA"/>
        </w:rPr>
        <w:t>певною мірою вступає в суперечність з принципами незалежності судів при здійсненні правосуддя та невтручання у здійснення правосуддя чи вплив на суд, передбачені ст. 1, 6 Закону України «Про судоустрій». Відтак така пропозиція може бути перспективною, але дещо передчасною і може бути додатково аргументована дисертанткою під час захисту.</w:t>
      </w:r>
    </w:p>
    <w:p w:rsidR="00C2456F" w:rsidRPr="00A8464C" w:rsidRDefault="00C2456F" w:rsidP="005A1805">
      <w:pPr>
        <w:pStyle w:val="a7"/>
        <w:numPr>
          <w:ilvl w:val="0"/>
          <w:numId w:val="1"/>
        </w:numPr>
        <w:tabs>
          <w:tab w:val="left" w:pos="1276"/>
        </w:tabs>
        <w:spacing w:line="360" w:lineRule="auto"/>
        <w:ind w:left="0" w:firstLine="709"/>
        <w:jc w:val="both"/>
        <w:rPr>
          <w:sz w:val="28"/>
          <w:szCs w:val="28"/>
          <w:lang w:val="uk-UA"/>
        </w:rPr>
      </w:pPr>
      <w:r w:rsidRPr="00A8464C">
        <w:rPr>
          <w:sz w:val="28"/>
          <w:szCs w:val="28"/>
          <w:lang w:val="uk-UA"/>
        </w:rPr>
        <w:t>У п. 2 наукової новини дисертантка зазначає «Запропоновано з урахуванням правового статусу суду, державних і приватних виконавців, здійснити порівняльних аналіз їх діяльності і узгодити заходи процесуального примусу, які мають місце у цивільному судочинстві, з відповідними заходами у виконавчому провадженні»</w:t>
      </w:r>
      <w:r w:rsidR="00096D60" w:rsidRPr="00A8464C">
        <w:rPr>
          <w:sz w:val="28"/>
          <w:szCs w:val="28"/>
          <w:lang w:val="uk-UA"/>
        </w:rPr>
        <w:t>. Однак з наведеної редакції п. 2 новизни незрозуміло, чи дисертантка здійснила такий порівняльний аналіз в дисертаційному дослідженні чи пропонує іншим науковцям здійснити такий порівняльний аналіз. Відтак дисертантка може уточнити що малося на увазі в цьому пункті під час захисту.</w:t>
      </w:r>
    </w:p>
    <w:p w:rsidR="00096D60" w:rsidRPr="00A8464C" w:rsidRDefault="00096D60" w:rsidP="005A1805">
      <w:pPr>
        <w:pStyle w:val="a7"/>
        <w:numPr>
          <w:ilvl w:val="0"/>
          <w:numId w:val="1"/>
        </w:numPr>
        <w:tabs>
          <w:tab w:val="left" w:pos="1276"/>
        </w:tabs>
        <w:spacing w:line="360" w:lineRule="auto"/>
        <w:ind w:left="0" w:firstLine="709"/>
        <w:jc w:val="both"/>
        <w:rPr>
          <w:sz w:val="28"/>
          <w:szCs w:val="28"/>
          <w:lang w:val="uk-UA"/>
        </w:rPr>
      </w:pPr>
      <w:r w:rsidRPr="00A8464C">
        <w:rPr>
          <w:sz w:val="28"/>
          <w:szCs w:val="28"/>
          <w:lang w:val="uk-UA"/>
        </w:rPr>
        <w:t xml:space="preserve">Певною мірою суперечливою є позиція дисертантки, викладена в п. 7 наукової новизни. Так, в ньому відзначається відхід в ЦПК від принципу змагальності, оскільки суд може викликати особу, </w:t>
      </w:r>
      <w:r w:rsidRPr="00A8464C">
        <w:rPr>
          <w:sz w:val="28"/>
          <w:szCs w:val="28"/>
          <w:u w:val="single"/>
          <w:lang w:val="uk-UA"/>
        </w:rPr>
        <w:t>яка подала заяву</w:t>
      </w:r>
      <w:r w:rsidRPr="00A8464C">
        <w:rPr>
          <w:sz w:val="28"/>
          <w:szCs w:val="28"/>
          <w:lang w:val="uk-UA"/>
        </w:rPr>
        <w:t xml:space="preserve"> про забезпечення позову, для надання пояснень або додаткових доказів тощо, що на думку дисертантки створює небезпеку корупційної складової, адже передбачає можливість неофіційного спілкування судді з однією із сторін. Відтак дисертантка пропонує запрошувати того, </w:t>
      </w:r>
      <w:r w:rsidRPr="00A8464C">
        <w:rPr>
          <w:sz w:val="28"/>
          <w:szCs w:val="28"/>
          <w:u w:val="single"/>
          <w:lang w:val="uk-UA"/>
        </w:rPr>
        <w:t>хто склав заяву</w:t>
      </w:r>
      <w:r w:rsidRPr="00A8464C">
        <w:rPr>
          <w:sz w:val="28"/>
          <w:szCs w:val="28"/>
          <w:lang w:val="uk-UA"/>
        </w:rPr>
        <w:t xml:space="preserve"> і може відповісти на питання судді – представника або його разом з позивачем. По-перше, з </w:t>
      </w:r>
      <w:r w:rsidRPr="00A8464C">
        <w:rPr>
          <w:sz w:val="28"/>
          <w:szCs w:val="28"/>
          <w:lang w:val="uk-UA"/>
        </w:rPr>
        <w:lastRenderedPageBreak/>
        <w:t xml:space="preserve">наведеної пропозиції вбачається, що дисертантка підтримує, а не заперечує таке право суду. По-друге, незрозуміло чи дисертантка свідомо чи випадково вжила різні терміни – «особа, яка подала заяву» і «особа, яка склала заяву», чи мається на увазі те ж саме чи ні? Крім того, </w:t>
      </w:r>
      <w:r w:rsidR="00BA066C" w:rsidRPr="00A8464C">
        <w:rPr>
          <w:sz w:val="28"/>
          <w:szCs w:val="28"/>
          <w:lang w:val="uk-UA"/>
        </w:rPr>
        <w:t xml:space="preserve">дисертантка в кінці пропонує залучати для дачі пояснень лише представника або його разом з позивачем. Водночас, в с. 149 ЦПК України зазначається, що </w:t>
      </w:r>
      <w:r w:rsidR="00BA066C" w:rsidRPr="00A8464C">
        <w:rPr>
          <w:sz w:val="28"/>
          <w:szCs w:val="28"/>
          <w:lang w:eastAsia="uk-UA"/>
        </w:rPr>
        <w:t>заход</w:t>
      </w:r>
      <w:r w:rsidR="00BA066C" w:rsidRPr="00A8464C">
        <w:rPr>
          <w:sz w:val="28"/>
          <w:szCs w:val="28"/>
          <w:lang w:val="uk-UA" w:eastAsia="uk-UA"/>
        </w:rPr>
        <w:t>и</w:t>
      </w:r>
      <w:r w:rsidR="00BA066C" w:rsidRPr="00A8464C">
        <w:rPr>
          <w:sz w:val="28"/>
          <w:szCs w:val="28"/>
          <w:lang w:eastAsia="uk-UA"/>
        </w:rPr>
        <w:t xml:space="preserve"> </w:t>
      </w:r>
      <w:proofErr w:type="spellStart"/>
      <w:r w:rsidR="00BA066C" w:rsidRPr="00A8464C">
        <w:rPr>
          <w:sz w:val="28"/>
          <w:szCs w:val="28"/>
          <w:lang w:eastAsia="uk-UA"/>
        </w:rPr>
        <w:t>забезпечення</w:t>
      </w:r>
      <w:proofErr w:type="spellEnd"/>
      <w:r w:rsidR="00BA066C" w:rsidRPr="00A8464C">
        <w:rPr>
          <w:sz w:val="28"/>
          <w:szCs w:val="28"/>
          <w:lang w:eastAsia="uk-UA"/>
        </w:rPr>
        <w:t xml:space="preserve"> позову </w:t>
      </w:r>
      <w:r w:rsidR="00BA066C" w:rsidRPr="00A8464C">
        <w:rPr>
          <w:sz w:val="28"/>
          <w:szCs w:val="28"/>
          <w:lang w:val="uk-UA" w:eastAsia="uk-UA"/>
        </w:rPr>
        <w:t xml:space="preserve">вживаються судом </w:t>
      </w:r>
      <w:r w:rsidR="00BA066C" w:rsidRPr="00A8464C">
        <w:rPr>
          <w:sz w:val="28"/>
          <w:szCs w:val="28"/>
          <w:lang w:eastAsia="uk-UA"/>
        </w:rPr>
        <w:t xml:space="preserve">за </w:t>
      </w:r>
      <w:proofErr w:type="spellStart"/>
      <w:r w:rsidR="00BA066C" w:rsidRPr="00A8464C">
        <w:rPr>
          <w:sz w:val="28"/>
          <w:szCs w:val="28"/>
          <w:lang w:eastAsia="uk-UA"/>
        </w:rPr>
        <w:t>заявою</w:t>
      </w:r>
      <w:proofErr w:type="spellEnd"/>
      <w:r w:rsidR="00BA066C" w:rsidRPr="00A8464C">
        <w:rPr>
          <w:sz w:val="28"/>
          <w:szCs w:val="28"/>
          <w:lang w:eastAsia="uk-UA"/>
        </w:rPr>
        <w:t xml:space="preserve"> </w:t>
      </w:r>
      <w:proofErr w:type="spellStart"/>
      <w:r w:rsidR="00BA066C" w:rsidRPr="00A8464C">
        <w:rPr>
          <w:sz w:val="28"/>
          <w:szCs w:val="28"/>
          <w:lang w:eastAsia="uk-UA"/>
        </w:rPr>
        <w:t>учасника</w:t>
      </w:r>
      <w:proofErr w:type="spellEnd"/>
      <w:r w:rsidR="00BA066C" w:rsidRPr="00A8464C">
        <w:rPr>
          <w:sz w:val="28"/>
          <w:szCs w:val="28"/>
          <w:lang w:eastAsia="uk-UA"/>
        </w:rPr>
        <w:t xml:space="preserve"> </w:t>
      </w:r>
      <w:proofErr w:type="spellStart"/>
      <w:r w:rsidR="00BA066C" w:rsidRPr="00A8464C">
        <w:rPr>
          <w:sz w:val="28"/>
          <w:szCs w:val="28"/>
          <w:lang w:eastAsia="uk-UA"/>
        </w:rPr>
        <w:t>справи</w:t>
      </w:r>
      <w:proofErr w:type="spellEnd"/>
      <w:r w:rsidR="00BA066C" w:rsidRPr="00A8464C">
        <w:rPr>
          <w:sz w:val="28"/>
          <w:szCs w:val="28"/>
          <w:lang w:val="uk-UA" w:eastAsia="uk-UA"/>
        </w:rPr>
        <w:t>, яким не обов’язково має бути лише позивач чи його представник. Відтак, зазначена позиція дисертантки є некоректною та підлягає уточненню.</w:t>
      </w:r>
    </w:p>
    <w:p w:rsidR="005A1805" w:rsidRPr="00A8464C" w:rsidRDefault="00BE7BB7" w:rsidP="005A1805">
      <w:pPr>
        <w:pStyle w:val="a7"/>
        <w:numPr>
          <w:ilvl w:val="0"/>
          <w:numId w:val="1"/>
        </w:numPr>
        <w:tabs>
          <w:tab w:val="left" w:pos="1276"/>
        </w:tabs>
        <w:spacing w:line="360" w:lineRule="auto"/>
        <w:ind w:left="0" w:firstLine="709"/>
        <w:jc w:val="both"/>
        <w:rPr>
          <w:sz w:val="28"/>
          <w:szCs w:val="28"/>
          <w:lang w:val="uk-UA"/>
        </w:rPr>
      </w:pPr>
      <w:r w:rsidRPr="00A8464C">
        <w:rPr>
          <w:sz w:val="28"/>
          <w:szCs w:val="28"/>
          <w:lang w:val="uk-UA"/>
        </w:rPr>
        <w:t>Не всі висновки дисертантки</w:t>
      </w:r>
      <w:r w:rsidR="005A1805" w:rsidRPr="00A8464C">
        <w:rPr>
          <w:sz w:val="28"/>
          <w:szCs w:val="28"/>
          <w:lang w:val="uk-UA"/>
        </w:rPr>
        <w:t xml:space="preserve"> є слушними, </w:t>
      </w:r>
      <w:r w:rsidRPr="00A8464C">
        <w:rPr>
          <w:sz w:val="28"/>
          <w:szCs w:val="28"/>
          <w:lang w:val="uk-UA"/>
        </w:rPr>
        <w:t>і доведені до логічного завершення</w:t>
      </w:r>
      <w:r w:rsidR="005A1805" w:rsidRPr="00A8464C">
        <w:rPr>
          <w:sz w:val="28"/>
          <w:szCs w:val="28"/>
          <w:lang w:val="uk-UA"/>
        </w:rPr>
        <w:t>. Так, загалом прийнятн</w:t>
      </w:r>
      <w:r w:rsidRPr="00A8464C">
        <w:rPr>
          <w:sz w:val="28"/>
          <w:szCs w:val="28"/>
          <w:lang w:val="uk-UA"/>
        </w:rPr>
        <w:t>им</w:t>
      </w:r>
      <w:r w:rsidR="005A1805" w:rsidRPr="00A8464C">
        <w:rPr>
          <w:sz w:val="28"/>
          <w:szCs w:val="28"/>
          <w:lang w:val="uk-UA"/>
        </w:rPr>
        <w:t xml:space="preserve"> є </w:t>
      </w:r>
      <w:r w:rsidRPr="00A8464C">
        <w:rPr>
          <w:sz w:val="28"/>
          <w:szCs w:val="28"/>
          <w:lang w:val="uk-UA"/>
        </w:rPr>
        <w:t>висновок</w:t>
      </w:r>
      <w:r w:rsidR="005A1805" w:rsidRPr="00A8464C">
        <w:rPr>
          <w:sz w:val="28"/>
          <w:szCs w:val="28"/>
          <w:lang w:val="uk-UA"/>
        </w:rPr>
        <w:t xml:space="preserve"> дисертантки про </w:t>
      </w:r>
      <w:r w:rsidRPr="00A8464C">
        <w:rPr>
          <w:sz w:val="28"/>
          <w:szCs w:val="28"/>
          <w:lang w:val="uk-UA"/>
        </w:rPr>
        <w:t>необхідність уточнення понятійного апарату ЦПК, зокрема, в частині застосування понять «заходи забезпечення позову» та «види забезпечення позову» (с. 200), однак дисертантка не зазначила який саме термін, на її думку, має бути застосований у даному випадку.</w:t>
      </w:r>
      <w:r w:rsidR="007710FB" w:rsidRPr="00A8464C">
        <w:rPr>
          <w:sz w:val="28"/>
          <w:szCs w:val="28"/>
          <w:lang w:val="uk-UA"/>
        </w:rPr>
        <w:t xml:space="preserve"> Хоча у висновках до 1 розділу (с. 43) дисертантка все-таки схиляється до доцільності застосування терміну «види засобів забезпечення позову».</w:t>
      </w:r>
      <w:r w:rsidR="00775CBC" w:rsidRPr="00A8464C">
        <w:rPr>
          <w:sz w:val="28"/>
          <w:szCs w:val="28"/>
          <w:lang w:val="uk-UA"/>
        </w:rPr>
        <w:t xml:space="preserve"> На с. 36 дисертації дисертантка зазначає, що при виконанні рішення суду доволі часто відбувається не просто захист порушеного права, а й безпосереднє припинення правопорушення, не наводячи прикладів таких випадків, що не повною мірою розкриває позицію дисертантки.</w:t>
      </w:r>
    </w:p>
    <w:p w:rsidR="005A1805" w:rsidRDefault="006B0CF8" w:rsidP="006270ED">
      <w:pPr>
        <w:pStyle w:val="a7"/>
        <w:numPr>
          <w:ilvl w:val="0"/>
          <w:numId w:val="1"/>
        </w:numPr>
        <w:tabs>
          <w:tab w:val="left" w:pos="1276"/>
        </w:tabs>
        <w:spacing w:line="360" w:lineRule="auto"/>
        <w:ind w:left="0" w:firstLine="709"/>
        <w:jc w:val="both"/>
        <w:rPr>
          <w:sz w:val="28"/>
          <w:szCs w:val="28"/>
          <w:lang w:val="uk-UA"/>
        </w:rPr>
      </w:pPr>
      <w:r w:rsidRPr="00A8464C">
        <w:rPr>
          <w:sz w:val="28"/>
          <w:szCs w:val="28"/>
          <w:lang w:val="uk-UA"/>
        </w:rPr>
        <w:t xml:space="preserve">Певною нелогічністю відзначається висновок дисертантки, викладений на с. 86 дисертації. Так, вона відзначає, що відповідно до ст. 124 Конституції України законом може бути визначений обов’язковий досудовий порядок урегулювання спору, а отже, на її думку, до звернення до суду особа має забезпечити докази своєї правоти у відносинах, які на її думку, можуть бути реалізовані саме в нотаріальному порядку. По-перше, </w:t>
      </w:r>
      <w:r w:rsidR="00200445" w:rsidRPr="00A8464C">
        <w:rPr>
          <w:sz w:val="28"/>
          <w:szCs w:val="28"/>
          <w:lang w:val="uk-UA"/>
        </w:rPr>
        <w:t>дисертанткою не наведено прикладів законодавчого закріплення обов’язкового</w:t>
      </w:r>
      <w:r w:rsidRPr="00A8464C">
        <w:rPr>
          <w:sz w:val="28"/>
          <w:szCs w:val="28"/>
          <w:lang w:val="uk-UA"/>
        </w:rPr>
        <w:t xml:space="preserve"> досудового врегулювання спору</w:t>
      </w:r>
      <w:r w:rsidR="00200445" w:rsidRPr="00A8464C">
        <w:rPr>
          <w:sz w:val="28"/>
          <w:szCs w:val="28"/>
          <w:lang w:val="uk-UA"/>
        </w:rPr>
        <w:t xml:space="preserve">. По-друге, дисертанткою не </w:t>
      </w:r>
      <w:proofErr w:type="spellStart"/>
      <w:r w:rsidR="00200445" w:rsidRPr="00A8464C">
        <w:rPr>
          <w:sz w:val="28"/>
          <w:szCs w:val="28"/>
          <w:lang w:val="uk-UA"/>
        </w:rPr>
        <w:t>обгрунтовано</w:t>
      </w:r>
      <w:proofErr w:type="spellEnd"/>
      <w:r w:rsidR="00200445" w:rsidRPr="00A8464C">
        <w:rPr>
          <w:sz w:val="28"/>
          <w:szCs w:val="28"/>
          <w:lang w:val="uk-UA"/>
        </w:rPr>
        <w:t xml:space="preserve"> яким чином таке досудове врегулювання спору, обов’язкове чи добровільне впливає на забезпечення доказів в нотаріальному процесі. Адже </w:t>
      </w:r>
      <w:r w:rsidR="006270ED">
        <w:rPr>
          <w:sz w:val="28"/>
          <w:szCs w:val="28"/>
          <w:lang w:val="uk-UA"/>
        </w:rPr>
        <w:t xml:space="preserve">в більшості випадків </w:t>
      </w:r>
      <w:r w:rsidR="006270ED">
        <w:rPr>
          <w:sz w:val="28"/>
          <w:szCs w:val="28"/>
          <w:lang w:val="uk-UA"/>
        </w:rPr>
        <w:br w:type="page"/>
      </w:r>
    </w:p>
    <w:p w:rsidR="006270ED" w:rsidRPr="006270ED" w:rsidRDefault="006270ED" w:rsidP="006270ED">
      <w:pPr>
        <w:pStyle w:val="a7"/>
        <w:tabs>
          <w:tab w:val="left" w:pos="1276"/>
        </w:tabs>
        <w:spacing w:line="360" w:lineRule="auto"/>
        <w:ind w:left="709"/>
        <w:jc w:val="both"/>
        <w:rPr>
          <w:sz w:val="28"/>
          <w:szCs w:val="28"/>
          <w:lang w:val="uk-UA"/>
        </w:rPr>
      </w:pPr>
      <w:bookmarkStart w:id="0" w:name="_GoBack"/>
      <w:bookmarkEnd w:id="0"/>
    </w:p>
    <w:p w:rsidR="00FA71CB" w:rsidRPr="00A8464C" w:rsidRDefault="00FA71CB" w:rsidP="00FA71CB">
      <w:pPr>
        <w:pStyle w:val="a7"/>
        <w:tabs>
          <w:tab w:val="left" w:pos="1276"/>
        </w:tabs>
        <w:spacing w:line="360" w:lineRule="auto"/>
        <w:ind w:left="709"/>
        <w:jc w:val="both"/>
        <w:rPr>
          <w:sz w:val="28"/>
          <w:szCs w:val="28"/>
          <w:lang w:val="uk-UA"/>
        </w:rPr>
      </w:pPr>
      <w:r w:rsidRPr="00FA71CB">
        <w:rPr>
          <w:noProof/>
          <w:sz w:val="28"/>
          <w:szCs w:val="28"/>
          <w:lang w:val="uk-UA" w:eastAsia="uk-UA"/>
        </w:rPr>
        <w:drawing>
          <wp:inline distT="0" distB="0" distL="0" distR="0" wp14:anchorId="59E0696C" wp14:editId="113929CE">
            <wp:extent cx="6119495" cy="87642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9495" cy="8764270"/>
                    </a:xfrm>
                    <a:prstGeom prst="rect">
                      <a:avLst/>
                    </a:prstGeom>
                    <a:noFill/>
                    <a:ln>
                      <a:noFill/>
                    </a:ln>
                  </pic:spPr>
                </pic:pic>
              </a:graphicData>
            </a:graphic>
          </wp:inline>
        </w:drawing>
      </w:r>
    </w:p>
    <w:sectPr w:rsidR="00FA71CB" w:rsidRPr="00A8464C" w:rsidSect="00AC10F0">
      <w:footerReference w:type="default" r:id="rId10"/>
      <w:pgSz w:w="11906" w:h="16838" w:code="9"/>
      <w:pgMar w:top="1021" w:right="851" w:bottom="1021" w:left="1418" w:header="39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2A57" w:rsidRDefault="00FE2A57" w:rsidP="00AC10F0">
      <w:r>
        <w:separator/>
      </w:r>
    </w:p>
  </w:endnote>
  <w:endnote w:type="continuationSeparator" w:id="0">
    <w:p w:rsidR="00FE2A57" w:rsidRDefault="00FE2A57" w:rsidP="00AC1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hianti Win95BT">
    <w:altName w:val="Lucida Sans Unicode"/>
    <w:charset w:val="CC"/>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5612574"/>
      <w:docPartObj>
        <w:docPartGallery w:val="Page Numbers (Bottom of Page)"/>
        <w:docPartUnique/>
      </w:docPartObj>
    </w:sdtPr>
    <w:sdtEndPr/>
    <w:sdtContent>
      <w:p w:rsidR="00AC10F0" w:rsidRPr="00AC10F0" w:rsidRDefault="00AC10F0" w:rsidP="00AC10F0">
        <w:pPr>
          <w:pStyle w:val="ac"/>
          <w:jc w:val="right"/>
        </w:pPr>
        <w:r>
          <w:fldChar w:fldCharType="begin"/>
        </w:r>
        <w:r>
          <w:instrText>PAGE   \* MERGEFORMAT</w:instrText>
        </w:r>
        <w:r>
          <w:fldChar w:fldCharType="separate"/>
        </w:r>
        <w:r w:rsidR="006270ED">
          <w:rPr>
            <w:noProof/>
          </w:rPr>
          <w:t>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2A57" w:rsidRDefault="00FE2A57" w:rsidP="00AC10F0">
      <w:r>
        <w:separator/>
      </w:r>
    </w:p>
  </w:footnote>
  <w:footnote w:type="continuationSeparator" w:id="0">
    <w:p w:rsidR="00FE2A57" w:rsidRDefault="00FE2A57" w:rsidP="00AC10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DC37ED"/>
    <w:multiLevelType w:val="hybridMultilevel"/>
    <w:tmpl w:val="5F06EFA6"/>
    <w:lvl w:ilvl="0" w:tplc="04220001">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
    <w:nsid w:val="7EA14A9F"/>
    <w:multiLevelType w:val="hybridMultilevel"/>
    <w:tmpl w:val="19A6530C"/>
    <w:lvl w:ilvl="0" w:tplc="7690D2D8">
      <w:start w:val="1"/>
      <w:numFmt w:val="decimal"/>
      <w:lvlText w:val="%1."/>
      <w:lvlJc w:val="left"/>
      <w:pPr>
        <w:ind w:left="720" w:hanging="360"/>
      </w:pPr>
    </w:lvl>
    <w:lvl w:ilvl="1" w:tplc="431CECF6">
      <w:start w:val="1"/>
      <w:numFmt w:val="lowerLetter"/>
      <w:lvlText w:val="%2."/>
      <w:lvlJc w:val="left"/>
      <w:pPr>
        <w:ind w:left="1440" w:hanging="360"/>
      </w:pPr>
    </w:lvl>
    <w:lvl w:ilvl="2" w:tplc="1C4A83A8">
      <w:start w:val="1"/>
      <w:numFmt w:val="lowerRoman"/>
      <w:lvlText w:val="%3."/>
      <w:lvlJc w:val="right"/>
      <w:pPr>
        <w:ind w:left="2160" w:hanging="180"/>
      </w:pPr>
    </w:lvl>
    <w:lvl w:ilvl="3" w:tplc="2CDAF16A">
      <w:start w:val="1"/>
      <w:numFmt w:val="decimal"/>
      <w:lvlText w:val="%4."/>
      <w:lvlJc w:val="left"/>
      <w:pPr>
        <w:ind w:left="2880" w:hanging="360"/>
      </w:pPr>
    </w:lvl>
    <w:lvl w:ilvl="4" w:tplc="FBCEB5EC">
      <w:start w:val="1"/>
      <w:numFmt w:val="lowerLetter"/>
      <w:lvlText w:val="%5."/>
      <w:lvlJc w:val="left"/>
      <w:pPr>
        <w:ind w:left="3600" w:hanging="360"/>
      </w:pPr>
    </w:lvl>
    <w:lvl w:ilvl="5" w:tplc="A2E01B24">
      <w:start w:val="1"/>
      <w:numFmt w:val="lowerRoman"/>
      <w:lvlText w:val="%6."/>
      <w:lvlJc w:val="right"/>
      <w:pPr>
        <w:ind w:left="4320" w:hanging="180"/>
      </w:pPr>
    </w:lvl>
    <w:lvl w:ilvl="6" w:tplc="8988B176">
      <w:start w:val="1"/>
      <w:numFmt w:val="decimal"/>
      <w:lvlText w:val="%7."/>
      <w:lvlJc w:val="left"/>
      <w:pPr>
        <w:ind w:left="5040" w:hanging="360"/>
      </w:pPr>
    </w:lvl>
    <w:lvl w:ilvl="7" w:tplc="A788AB9C">
      <w:start w:val="1"/>
      <w:numFmt w:val="lowerLetter"/>
      <w:lvlText w:val="%8."/>
      <w:lvlJc w:val="left"/>
      <w:pPr>
        <w:ind w:left="5760" w:hanging="360"/>
      </w:pPr>
    </w:lvl>
    <w:lvl w:ilvl="8" w:tplc="269EF556">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805"/>
    <w:rsid w:val="00096D60"/>
    <w:rsid w:val="00152BF6"/>
    <w:rsid w:val="001A7FDE"/>
    <w:rsid w:val="001D1C33"/>
    <w:rsid w:val="00200445"/>
    <w:rsid w:val="002041BF"/>
    <w:rsid w:val="00213B3C"/>
    <w:rsid w:val="00252E4A"/>
    <w:rsid w:val="00261F71"/>
    <w:rsid w:val="003644F9"/>
    <w:rsid w:val="0049062A"/>
    <w:rsid w:val="004A69C4"/>
    <w:rsid w:val="005A1805"/>
    <w:rsid w:val="005A72DA"/>
    <w:rsid w:val="006270ED"/>
    <w:rsid w:val="0067169B"/>
    <w:rsid w:val="006B0CF8"/>
    <w:rsid w:val="007710FB"/>
    <w:rsid w:val="00775CBC"/>
    <w:rsid w:val="00787A43"/>
    <w:rsid w:val="007B67AB"/>
    <w:rsid w:val="007F055B"/>
    <w:rsid w:val="007F532E"/>
    <w:rsid w:val="00803F1A"/>
    <w:rsid w:val="0083701F"/>
    <w:rsid w:val="008D5FBC"/>
    <w:rsid w:val="00982358"/>
    <w:rsid w:val="009B1FB8"/>
    <w:rsid w:val="009D02CF"/>
    <w:rsid w:val="00A13D24"/>
    <w:rsid w:val="00A373D7"/>
    <w:rsid w:val="00A72913"/>
    <w:rsid w:val="00A8464C"/>
    <w:rsid w:val="00A87517"/>
    <w:rsid w:val="00AC10F0"/>
    <w:rsid w:val="00BA066C"/>
    <w:rsid w:val="00BE7BB7"/>
    <w:rsid w:val="00C2456F"/>
    <w:rsid w:val="00D32257"/>
    <w:rsid w:val="00F71D8A"/>
    <w:rsid w:val="00FA71CB"/>
    <w:rsid w:val="00FE2A5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1805"/>
    <w:pPr>
      <w:spacing w:after="0" w:line="240" w:lineRule="auto"/>
    </w:pPr>
    <w:rPr>
      <w:rFonts w:ascii="Chianti Win95BT" w:eastAsia="Times New Roman" w:hAnsi="Chianti Win95BT"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semiHidden/>
    <w:rsid w:val="005A1805"/>
    <w:pPr>
      <w:spacing w:line="360" w:lineRule="auto"/>
      <w:ind w:left="4820"/>
      <w:jc w:val="both"/>
    </w:pPr>
    <w:rPr>
      <w:rFonts w:ascii="Times New Roman" w:hAnsi="Times New Roman"/>
      <w:sz w:val="28"/>
      <w:szCs w:val="20"/>
      <w:lang w:val="uk-UA"/>
    </w:rPr>
  </w:style>
  <w:style w:type="character" w:customStyle="1" w:styleId="a4">
    <w:name w:val="Основной текст с отступом Знак"/>
    <w:basedOn w:val="a0"/>
    <w:link w:val="a3"/>
    <w:semiHidden/>
    <w:rsid w:val="005A1805"/>
    <w:rPr>
      <w:rFonts w:eastAsia="Times New Roman" w:cs="Times New Roman"/>
      <w:szCs w:val="20"/>
      <w:lang w:eastAsia="ru-RU"/>
    </w:rPr>
  </w:style>
  <w:style w:type="paragraph" w:styleId="a5">
    <w:name w:val="Body Text"/>
    <w:basedOn w:val="a"/>
    <w:link w:val="a6"/>
    <w:semiHidden/>
    <w:rsid w:val="005A1805"/>
    <w:pPr>
      <w:tabs>
        <w:tab w:val="left" w:pos="567"/>
      </w:tabs>
      <w:spacing w:line="360" w:lineRule="auto"/>
      <w:jc w:val="both"/>
    </w:pPr>
    <w:rPr>
      <w:rFonts w:ascii="Times New Roman" w:hAnsi="Times New Roman"/>
      <w:sz w:val="28"/>
      <w:szCs w:val="20"/>
      <w:lang w:val="uk-UA"/>
    </w:rPr>
  </w:style>
  <w:style w:type="character" w:customStyle="1" w:styleId="a6">
    <w:name w:val="Основной текст Знак"/>
    <w:basedOn w:val="a0"/>
    <w:link w:val="a5"/>
    <w:semiHidden/>
    <w:rsid w:val="005A1805"/>
    <w:rPr>
      <w:rFonts w:eastAsia="Times New Roman" w:cs="Times New Roman"/>
      <w:szCs w:val="20"/>
      <w:lang w:eastAsia="ru-RU"/>
    </w:rPr>
  </w:style>
  <w:style w:type="paragraph" w:styleId="a7">
    <w:name w:val="List Paragraph"/>
    <w:basedOn w:val="a"/>
    <w:uiPriority w:val="34"/>
    <w:qFormat/>
    <w:rsid w:val="005A1805"/>
    <w:pPr>
      <w:ind w:left="720"/>
      <w:contextualSpacing/>
    </w:pPr>
    <w:rPr>
      <w:rFonts w:ascii="Times New Roman" w:hAnsi="Times New Roman"/>
      <w:sz w:val="20"/>
      <w:szCs w:val="20"/>
    </w:rPr>
  </w:style>
  <w:style w:type="paragraph" w:styleId="a8">
    <w:name w:val="Balloon Text"/>
    <w:basedOn w:val="a"/>
    <w:link w:val="a9"/>
    <w:uiPriority w:val="99"/>
    <w:semiHidden/>
    <w:unhideWhenUsed/>
    <w:rsid w:val="003644F9"/>
    <w:rPr>
      <w:rFonts w:ascii="Tahoma" w:hAnsi="Tahoma" w:cs="Tahoma"/>
      <w:sz w:val="16"/>
      <w:szCs w:val="16"/>
    </w:rPr>
  </w:style>
  <w:style w:type="character" w:customStyle="1" w:styleId="a9">
    <w:name w:val="Текст выноски Знак"/>
    <w:basedOn w:val="a0"/>
    <w:link w:val="a8"/>
    <w:uiPriority w:val="99"/>
    <w:semiHidden/>
    <w:rsid w:val="003644F9"/>
    <w:rPr>
      <w:rFonts w:ascii="Tahoma" w:eastAsia="Times New Roman" w:hAnsi="Tahoma" w:cs="Tahoma"/>
      <w:sz w:val="16"/>
      <w:szCs w:val="16"/>
      <w:lang w:val="ru-RU" w:eastAsia="ru-RU"/>
    </w:rPr>
  </w:style>
  <w:style w:type="paragraph" w:styleId="aa">
    <w:name w:val="header"/>
    <w:basedOn w:val="a"/>
    <w:link w:val="ab"/>
    <w:uiPriority w:val="99"/>
    <w:unhideWhenUsed/>
    <w:rsid w:val="00AC10F0"/>
    <w:pPr>
      <w:tabs>
        <w:tab w:val="center" w:pos="4677"/>
        <w:tab w:val="right" w:pos="9355"/>
      </w:tabs>
    </w:pPr>
  </w:style>
  <w:style w:type="character" w:customStyle="1" w:styleId="ab">
    <w:name w:val="Верхний колонтитул Знак"/>
    <w:basedOn w:val="a0"/>
    <w:link w:val="aa"/>
    <w:uiPriority w:val="99"/>
    <w:rsid w:val="00AC10F0"/>
    <w:rPr>
      <w:rFonts w:ascii="Chianti Win95BT" w:eastAsia="Times New Roman" w:hAnsi="Chianti Win95BT" w:cs="Times New Roman"/>
      <w:sz w:val="24"/>
      <w:szCs w:val="24"/>
      <w:lang w:val="ru-RU" w:eastAsia="ru-RU"/>
    </w:rPr>
  </w:style>
  <w:style w:type="paragraph" w:styleId="ac">
    <w:name w:val="footer"/>
    <w:basedOn w:val="a"/>
    <w:link w:val="ad"/>
    <w:uiPriority w:val="99"/>
    <w:unhideWhenUsed/>
    <w:rsid w:val="00AC10F0"/>
    <w:pPr>
      <w:tabs>
        <w:tab w:val="center" w:pos="4677"/>
        <w:tab w:val="right" w:pos="9355"/>
      </w:tabs>
    </w:pPr>
  </w:style>
  <w:style w:type="character" w:customStyle="1" w:styleId="ad">
    <w:name w:val="Нижний колонтитул Знак"/>
    <w:basedOn w:val="a0"/>
    <w:link w:val="ac"/>
    <w:uiPriority w:val="99"/>
    <w:rsid w:val="00AC10F0"/>
    <w:rPr>
      <w:rFonts w:ascii="Chianti Win95BT" w:eastAsia="Times New Roman" w:hAnsi="Chianti Win95BT"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1805"/>
    <w:pPr>
      <w:spacing w:after="0" w:line="240" w:lineRule="auto"/>
    </w:pPr>
    <w:rPr>
      <w:rFonts w:ascii="Chianti Win95BT" w:eastAsia="Times New Roman" w:hAnsi="Chianti Win95BT"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semiHidden/>
    <w:rsid w:val="005A1805"/>
    <w:pPr>
      <w:spacing w:line="360" w:lineRule="auto"/>
      <w:ind w:left="4820"/>
      <w:jc w:val="both"/>
    </w:pPr>
    <w:rPr>
      <w:rFonts w:ascii="Times New Roman" w:hAnsi="Times New Roman"/>
      <w:sz w:val="28"/>
      <w:szCs w:val="20"/>
      <w:lang w:val="uk-UA"/>
    </w:rPr>
  </w:style>
  <w:style w:type="character" w:customStyle="1" w:styleId="a4">
    <w:name w:val="Основной текст с отступом Знак"/>
    <w:basedOn w:val="a0"/>
    <w:link w:val="a3"/>
    <w:semiHidden/>
    <w:rsid w:val="005A1805"/>
    <w:rPr>
      <w:rFonts w:eastAsia="Times New Roman" w:cs="Times New Roman"/>
      <w:szCs w:val="20"/>
      <w:lang w:eastAsia="ru-RU"/>
    </w:rPr>
  </w:style>
  <w:style w:type="paragraph" w:styleId="a5">
    <w:name w:val="Body Text"/>
    <w:basedOn w:val="a"/>
    <w:link w:val="a6"/>
    <w:semiHidden/>
    <w:rsid w:val="005A1805"/>
    <w:pPr>
      <w:tabs>
        <w:tab w:val="left" w:pos="567"/>
      </w:tabs>
      <w:spacing w:line="360" w:lineRule="auto"/>
      <w:jc w:val="both"/>
    </w:pPr>
    <w:rPr>
      <w:rFonts w:ascii="Times New Roman" w:hAnsi="Times New Roman"/>
      <w:sz w:val="28"/>
      <w:szCs w:val="20"/>
      <w:lang w:val="uk-UA"/>
    </w:rPr>
  </w:style>
  <w:style w:type="character" w:customStyle="1" w:styleId="a6">
    <w:name w:val="Основной текст Знак"/>
    <w:basedOn w:val="a0"/>
    <w:link w:val="a5"/>
    <w:semiHidden/>
    <w:rsid w:val="005A1805"/>
    <w:rPr>
      <w:rFonts w:eastAsia="Times New Roman" w:cs="Times New Roman"/>
      <w:szCs w:val="20"/>
      <w:lang w:eastAsia="ru-RU"/>
    </w:rPr>
  </w:style>
  <w:style w:type="paragraph" w:styleId="a7">
    <w:name w:val="List Paragraph"/>
    <w:basedOn w:val="a"/>
    <w:uiPriority w:val="34"/>
    <w:qFormat/>
    <w:rsid w:val="005A1805"/>
    <w:pPr>
      <w:ind w:left="720"/>
      <w:contextualSpacing/>
    </w:pPr>
    <w:rPr>
      <w:rFonts w:ascii="Times New Roman" w:hAnsi="Times New Roman"/>
      <w:sz w:val="20"/>
      <w:szCs w:val="20"/>
    </w:rPr>
  </w:style>
  <w:style w:type="paragraph" w:styleId="a8">
    <w:name w:val="Balloon Text"/>
    <w:basedOn w:val="a"/>
    <w:link w:val="a9"/>
    <w:uiPriority w:val="99"/>
    <w:semiHidden/>
    <w:unhideWhenUsed/>
    <w:rsid w:val="003644F9"/>
    <w:rPr>
      <w:rFonts w:ascii="Tahoma" w:hAnsi="Tahoma" w:cs="Tahoma"/>
      <w:sz w:val="16"/>
      <w:szCs w:val="16"/>
    </w:rPr>
  </w:style>
  <w:style w:type="character" w:customStyle="1" w:styleId="a9">
    <w:name w:val="Текст выноски Знак"/>
    <w:basedOn w:val="a0"/>
    <w:link w:val="a8"/>
    <w:uiPriority w:val="99"/>
    <w:semiHidden/>
    <w:rsid w:val="003644F9"/>
    <w:rPr>
      <w:rFonts w:ascii="Tahoma" w:eastAsia="Times New Roman" w:hAnsi="Tahoma" w:cs="Tahoma"/>
      <w:sz w:val="16"/>
      <w:szCs w:val="16"/>
      <w:lang w:val="ru-RU" w:eastAsia="ru-RU"/>
    </w:rPr>
  </w:style>
  <w:style w:type="paragraph" w:styleId="aa">
    <w:name w:val="header"/>
    <w:basedOn w:val="a"/>
    <w:link w:val="ab"/>
    <w:uiPriority w:val="99"/>
    <w:unhideWhenUsed/>
    <w:rsid w:val="00AC10F0"/>
    <w:pPr>
      <w:tabs>
        <w:tab w:val="center" w:pos="4677"/>
        <w:tab w:val="right" w:pos="9355"/>
      </w:tabs>
    </w:pPr>
  </w:style>
  <w:style w:type="character" w:customStyle="1" w:styleId="ab">
    <w:name w:val="Верхний колонтитул Знак"/>
    <w:basedOn w:val="a0"/>
    <w:link w:val="aa"/>
    <w:uiPriority w:val="99"/>
    <w:rsid w:val="00AC10F0"/>
    <w:rPr>
      <w:rFonts w:ascii="Chianti Win95BT" w:eastAsia="Times New Roman" w:hAnsi="Chianti Win95BT" w:cs="Times New Roman"/>
      <w:sz w:val="24"/>
      <w:szCs w:val="24"/>
      <w:lang w:val="ru-RU" w:eastAsia="ru-RU"/>
    </w:rPr>
  </w:style>
  <w:style w:type="paragraph" w:styleId="ac">
    <w:name w:val="footer"/>
    <w:basedOn w:val="a"/>
    <w:link w:val="ad"/>
    <w:uiPriority w:val="99"/>
    <w:unhideWhenUsed/>
    <w:rsid w:val="00AC10F0"/>
    <w:pPr>
      <w:tabs>
        <w:tab w:val="center" w:pos="4677"/>
        <w:tab w:val="right" w:pos="9355"/>
      </w:tabs>
    </w:pPr>
  </w:style>
  <w:style w:type="character" w:customStyle="1" w:styleId="ad">
    <w:name w:val="Нижний колонтитул Знак"/>
    <w:basedOn w:val="a0"/>
    <w:link w:val="ac"/>
    <w:uiPriority w:val="99"/>
    <w:rsid w:val="00AC10F0"/>
    <w:rPr>
      <w:rFonts w:ascii="Chianti Win95BT" w:eastAsia="Times New Roman" w:hAnsi="Chianti Win95BT"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BE0452-EFF0-4429-A564-C1710AA4E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10191</Words>
  <Characters>5809</Characters>
  <Application>Microsoft Office Word</Application>
  <DocSecurity>0</DocSecurity>
  <Lines>48</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MOON</dc:creator>
  <cp:lastModifiedBy>Оксана</cp:lastModifiedBy>
  <cp:revision>4</cp:revision>
  <cp:lastPrinted>2018-10-31T16:54:00Z</cp:lastPrinted>
  <dcterms:created xsi:type="dcterms:W3CDTF">2018-11-02T10:00:00Z</dcterms:created>
  <dcterms:modified xsi:type="dcterms:W3CDTF">2018-11-02T12:28:00Z</dcterms:modified>
</cp:coreProperties>
</file>