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625" w:rsidRPr="007665E6" w:rsidRDefault="00465625" w:rsidP="00465625">
      <w:pPr>
        <w:spacing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i/>
          <w:sz w:val="28"/>
          <w:szCs w:val="28"/>
          <w:lang w:val="uk-UA"/>
        </w:rPr>
        <w:t>До спеціалізованої вченої ради Д 26.236.03</w:t>
      </w:r>
    </w:p>
    <w:p w:rsidR="00465625" w:rsidRPr="007665E6" w:rsidRDefault="00465625" w:rsidP="00465625">
      <w:pPr>
        <w:spacing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i/>
          <w:sz w:val="28"/>
          <w:szCs w:val="28"/>
          <w:lang w:val="uk-UA"/>
        </w:rPr>
        <w:t>у Інституті держави і права ім. В. М. Корецького НАН України</w:t>
      </w:r>
    </w:p>
    <w:p w:rsidR="00465625" w:rsidRPr="007665E6" w:rsidRDefault="00465625" w:rsidP="00465625">
      <w:pPr>
        <w:spacing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i/>
          <w:sz w:val="28"/>
          <w:szCs w:val="28"/>
          <w:lang w:val="uk-UA"/>
        </w:rPr>
        <w:t>вул. Трьохсвятительська, 4, Київ – 01601</w:t>
      </w:r>
    </w:p>
    <w:p w:rsidR="00BF5948" w:rsidRDefault="00BF5948" w:rsidP="00465625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5625" w:rsidRPr="007665E6" w:rsidRDefault="00465625" w:rsidP="00465625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>ВІДГУК</w:t>
      </w:r>
    </w:p>
    <w:p w:rsidR="00465625" w:rsidRPr="007665E6" w:rsidRDefault="00465625" w:rsidP="0046562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>офіційного опонента – доктора юридичних наук, професора</w:t>
      </w:r>
    </w:p>
    <w:p w:rsidR="00465625" w:rsidRPr="007665E6" w:rsidRDefault="00465625" w:rsidP="0046562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>Київець Олени Валеріївни на дисертацію</w:t>
      </w:r>
    </w:p>
    <w:p w:rsidR="00465625" w:rsidRPr="007665E6" w:rsidRDefault="00465625" w:rsidP="0046562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>Мушак</w:t>
      </w:r>
      <w:proofErr w:type="spellEnd"/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Наталії Богданівни на тему</w:t>
      </w:r>
    </w:p>
    <w:p w:rsidR="00465625" w:rsidRPr="007665E6" w:rsidRDefault="00465625" w:rsidP="0046562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>«Шенгенське acquis у праві Європейського Союзу», поданої</w:t>
      </w:r>
    </w:p>
    <w:p w:rsidR="00465625" w:rsidRPr="007665E6" w:rsidRDefault="00465625" w:rsidP="0046562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>на здобуття наукового ступеня доктора юридичних наук за</w:t>
      </w:r>
    </w:p>
    <w:p w:rsidR="00465625" w:rsidRPr="007665E6" w:rsidRDefault="00465625" w:rsidP="00465625">
      <w:pPr>
        <w:widowControl w:val="0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>спеціальністю 12.00.11 – міжнародне право</w:t>
      </w:r>
    </w:p>
    <w:p w:rsidR="001D5209" w:rsidRDefault="001D5209" w:rsidP="006138CE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D5209" w:rsidRDefault="00465625" w:rsidP="001D520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Актуальність </w:t>
      </w:r>
      <w:r w:rsidR="006138CE" w:rsidRPr="007665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теми </w:t>
      </w: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>дослідження.</w:t>
      </w:r>
      <w:r w:rsidR="001D52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71863" w:rsidRPr="001D5209" w:rsidRDefault="002D3769" w:rsidP="001D520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Однією з особливостей </w:t>
      </w:r>
      <w:proofErr w:type="spellStart"/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енгенського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простору є постійна зміна його вимірів.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, мож</w:t>
      </w:r>
      <w:r w:rsidR="00C71863" w:rsidRPr="007665E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змінюватися кількість </w:t>
      </w:r>
      <w:r w:rsidR="00C71863" w:rsidRPr="007665E6">
        <w:rPr>
          <w:rFonts w:ascii="Times New Roman" w:hAnsi="Times New Roman" w:cs="Times New Roman"/>
          <w:sz w:val="28"/>
          <w:szCs w:val="28"/>
          <w:lang w:val="uk-UA"/>
        </w:rPr>
        <w:t>держав-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71863" w:rsidRPr="007665E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71863" w:rsidRPr="007665E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ниць, засновуються нові форми співпр</w:t>
      </w:r>
      <w:r w:rsidR="00C71863" w:rsidRPr="007665E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ці </w:t>
      </w:r>
      <w:r w:rsidR="00C71863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третіх країн з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Шенгенськ</w:t>
      </w:r>
      <w:r w:rsidR="00C71863" w:rsidRPr="007665E6">
        <w:rPr>
          <w:rFonts w:ascii="Times New Roman" w:hAnsi="Times New Roman" w:cs="Times New Roman"/>
          <w:sz w:val="28"/>
          <w:szCs w:val="28"/>
          <w:lang w:val="uk-UA"/>
        </w:rPr>
        <w:t>им простором</w:t>
      </w:r>
      <w:r w:rsidR="0072429A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36A74" w:rsidRPr="007665E6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C71863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вивається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C71863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енгенське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acquis</w:t>
      </w:r>
      <w:r w:rsidR="00B7491D" w:rsidRPr="007665E6">
        <w:rPr>
          <w:rFonts w:ascii="Times New Roman" w:hAnsi="Times New Roman" w:cs="Times New Roman"/>
          <w:sz w:val="28"/>
          <w:szCs w:val="28"/>
          <w:lang w:val="uk-UA"/>
        </w:rPr>
        <w:t>, яке</w:t>
      </w:r>
      <w:r w:rsidR="00C71863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поширюється на треті країни. </w:t>
      </w:r>
    </w:p>
    <w:p w:rsidR="004818A7" w:rsidRDefault="00B7491D" w:rsidP="001D5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Остання ініціатива Франції передбачає скорочення учасників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енгенського простору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задля того,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щоб в ньому залишилися лише ті країни, які в змозі виконувати у повному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об’ємі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сукупність правових актів, які складають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Шенгенське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acquis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. Під питанням </w:t>
      </w:r>
      <w:r w:rsidR="004818A7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залишається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також участь Великої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ританії  у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енгенському просторі у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зв’язку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з можливим її виходом зі складу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Європейського Союзу.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Разом з тим, ч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астина держав-членів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Євросоюзу (наприклад, Хорватія, Болгарія, Румунія)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все ще </w:t>
      </w:r>
      <w:r w:rsidR="004818A7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перебуває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поза межами 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Шенгенського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6138CE" w:rsidRPr="007665E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остору, що ускладнює та стримує</w:t>
      </w:r>
      <w:r w:rsidR="004818A7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тим самим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подаль</w:t>
      </w:r>
      <w:r w:rsidR="004818A7" w:rsidRPr="007665E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ий розвиток європейської інтеграції.</w:t>
      </w:r>
    </w:p>
    <w:p w:rsidR="001D5209" w:rsidRPr="007665E6" w:rsidRDefault="001D5209" w:rsidP="001D5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1863" w:rsidRPr="007665E6" w:rsidRDefault="00C71863" w:rsidP="001D5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>Дослідження цих питань є актуальним і має практичне значення для України</w:t>
      </w:r>
      <w:r w:rsidR="004818A7" w:rsidRPr="007665E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оскільки </w:t>
      </w:r>
      <w:r w:rsidR="004818A7" w:rsidRPr="007665E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півпраця України з державами-учасницями Шенгенського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простору може призвести у перспективі до асоційованого членства </w:t>
      </w:r>
      <w:r w:rsidR="004818A7" w:rsidRPr="007665E6">
        <w:rPr>
          <w:rFonts w:ascii="Times New Roman" w:hAnsi="Times New Roman" w:cs="Times New Roman"/>
          <w:sz w:val="28"/>
          <w:szCs w:val="28"/>
          <w:lang w:val="uk-UA"/>
        </w:rPr>
        <w:t>нашої країни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у ньому. </w:t>
      </w:r>
    </w:p>
    <w:p w:rsidR="00B7491D" w:rsidRDefault="00B7491D" w:rsidP="001D520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Все це зумовлює високу ступінь актуальності даної дисертаційної роботи, яка є першим у вітчизняній науці міжнародного права комплексним </w:t>
      </w:r>
      <w:r w:rsidR="004818A7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дослідженням проблеми Шенгенського acquis у праві Європейського Союзу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та має велике практичне значення.</w:t>
      </w:r>
    </w:p>
    <w:p w:rsidR="001D5209" w:rsidRPr="007665E6" w:rsidRDefault="001D5209" w:rsidP="001D520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786B" w:rsidRPr="007665E6" w:rsidRDefault="001B0660" w:rsidP="007854F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>Ступінь обґрунтованості положень, висновків і рекомендацій, сформульованих у дисертації.</w:t>
      </w:r>
    </w:p>
    <w:p w:rsidR="008B786B" w:rsidRPr="007665E6" w:rsidRDefault="001B0660" w:rsidP="007854F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854F7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Метою дисертаційного дослідження </w:t>
      </w:r>
      <w:proofErr w:type="spellStart"/>
      <w:r w:rsidR="007854F7" w:rsidRPr="007665E6">
        <w:rPr>
          <w:rFonts w:ascii="Times New Roman" w:hAnsi="Times New Roman" w:cs="Times New Roman"/>
          <w:sz w:val="28"/>
          <w:szCs w:val="28"/>
          <w:lang w:val="uk-UA"/>
        </w:rPr>
        <w:t>Мушак</w:t>
      </w:r>
      <w:proofErr w:type="spellEnd"/>
      <w:r w:rsidR="007854F7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Н.Б. є розкриття сутності Шенгенського acquis; з’ясування місця Шенгенського acquis у праві ЄС; виявлення особливостей та проблем у реалізації візової та імміграційної політик ЄС, політики щодо надання притулку, захисту персональних даних, співпраці держав Шенгенського простору в межах функціонування Шенгенської інформаційної системи, прикордонного співробітництва їх органів, співпраці їх судових та поліцейських органів; виробленні пропозицій щодо вдосконалення співробітництва та взаємодії України з державами Шенгенського простору і приведення законодавства України у відповідність до Шенгенського acquis.</w:t>
      </w:r>
    </w:p>
    <w:p w:rsidR="007854F7" w:rsidRPr="007665E6" w:rsidRDefault="007854F7" w:rsidP="007854F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>Дисертація складається з складається зі вступу, переліку умовних скорочень, восьми розділів, поділених на двадцять чотири підрозділи, висновків, списку використаних джерел і додатків. Структура дисертації є науково обґрунтованою, що сприяло викладенню матеріалу послідовно та логічно, дозволивши достатньо глибоко дослідити тему і сформулювати відповідні висновки.</w:t>
      </w:r>
    </w:p>
    <w:p w:rsidR="007854F7" w:rsidRPr="007665E6" w:rsidRDefault="007854F7" w:rsidP="007854F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Теоретичним підґрунтям для наукового пошуку відповідей на правові та організаційні питання досліджених здобувачем стали наукові розробки вітчизняних дослідників, зокрема, О. Вишнякова, Л.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Грицаєнко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, В. Денисова, В.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Ірінєєвої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, О. Київець, С. Книша, З.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Макарухи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, О. Мережка, В. Муравйова, В.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Опришка, Є. Потапенко, В.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Пухаленко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, О.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Шемякіна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, І.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Яковюка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>, С. Янковського.</w:t>
      </w:r>
    </w:p>
    <w:p w:rsidR="008B786B" w:rsidRPr="007665E6" w:rsidRDefault="007854F7" w:rsidP="007854F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Висновки, сформульовані в дисертації, в цілому, є обґрунтованими та достовірними, ґрунтуються на аналізі значного обсягу нормативних джерел. Так, дана дисертація відрізняється досить високим рівнем аналізу відповідних джерел. </w:t>
      </w:r>
    </w:p>
    <w:p w:rsidR="007854F7" w:rsidRPr="007665E6" w:rsidRDefault="007854F7" w:rsidP="007854F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використаної літератури дослідження складає 400 найменувань. Це як нормативно-правові акти, так і праці іноземних вчених, в яких визначається сутність </w:t>
      </w:r>
      <w:r w:rsidR="00DB1B93" w:rsidRPr="007665E6">
        <w:rPr>
          <w:rFonts w:ascii="Times New Roman" w:hAnsi="Times New Roman" w:cs="Times New Roman"/>
          <w:sz w:val="28"/>
          <w:szCs w:val="28"/>
          <w:lang w:val="uk-UA"/>
        </w:rPr>
        <w:t>права ЄС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, а також доктринальні підходи </w:t>
      </w:r>
      <w:r w:rsidR="00DB1B93" w:rsidRPr="007665E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погляди на природу і практику застосування</w:t>
      </w:r>
      <w:r w:rsidR="00DB1B93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правових норм Шенгенського acquis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1B93" w:rsidRPr="007665E6" w:rsidRDefault="00DB1B93" w:rsidP="00DB1B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Як наслідок, автором проведено ретельний аналіз основних пріоритетів держав Шенгенського простору, що стосуються необхідності подолання імміграційної кризи і характеризуються короткостроковими і довгостроковими заходами. Доведено, що до перших відносяться негайні заходи для запобігання подальших втрат життя мігрантів у морі, які забезпечуються додатковим фінансуванням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Фронтексу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для проведення спільних з державами – членами ЄС пошуково-рятувальних операцій; створення програм регіонального захисту держав Шенгенського простору, зовнішні кордони яких найбільше потерпають від проникнення нелегальних мігрантів; та посилення ролі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Європолу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в ліквідації злочинних мереж, що займаються постачанням нелегальних мігрантів. До других пріоритетів відносяться: зниження стимулів для поширення нелегальної міграції; збереження життя осіб і забезпечення зовнішніх кордонів; розробка нової політики щодо легальної міграції з урахуванням майбутніх демографічних викликів.</w:t>
      </w:r>
    </w:p>
    <w:p w:rsidR="007854F7" w:rsidRPr="007665E6" w:rsidRDefault="00DB1B93" w:rsidP="007854F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Обґрунтовано висновок, що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Шенгенське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аcquis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функціонує як окремий правовий порядок, що діє в рамках права ЄС, поширюючись на держави-члени шляхом відміни між ними внутрішнього прикордонного та імміграційного контролю.</w:t>
      </w:r>
    </w:p>
    <w:p w:rsidR="00DB1B93" w:rsidRPr="007665E6" w:rsidRDefault="00DB1B93" w:rsidP="00DB1B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Важливими є положення дисертації з аналізу законодавчих актів Європейського Союзу щодо сфер правового регулювання, що охоплюються 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lastRenderedPageBreak/>
        <w:t>Шенгенським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аcquis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. Проведена ретельна класифікація джерел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Шенгенського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аcquis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разом із глибоким та всебічним їх аналізом.</w:t>
      </w:r>
    </w:p>
    <w:p w:rsidR="00DB1B93" w:rsidRPr="007665E6" w:rsidRDefault="00396550" w:rsidP="00DB1B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Аналізуючи діяльність агенцій, відомств та установ, що забезпечують функціонування правового порядку Шенгенського acquis, автор слушно зазначає, що </w:t>
      </w:r>
      <w:r w:rsidR="00DB1B93" w:rsidRPr="007665E6">
        <w:rPr>
          <w:rFonts w:ascii="Times New Roman" w:hAnsi="Times New Roman" w:cs="Times New Roman"/>
          <w:sz w:val="28"/>
          <w:szCs w:val="28"/>
          <w:lang w:val="uk-UA"/>
        </w:rPr>
        <w:t>механізм функціонування Шенгенського простору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B93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складається з агенцій, відомств та установ, спрямованих на забезпечення окремих сфер правового регулювання Шенгенського acquis.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У даному контексті, дисертантом з</w:t>
      </w:r>
      <w:r w:rsidR="00DB1B93" w:rsidRPr="007665E6">
        <w:rPr>
          <w:rFonts w:ascii="Times New Roman" w:hAnsi="Times New Roman" w:cs="Times New Roman"/>
          <w:sz w:val="28"/>
          <w:szCs w:val="28"/>
          <w:lang w:val="uk-UA"/>
        </w:rPr>
        <w:t>роблено висновок, що переважна більшість інституцій Шенгенського простору зорієнтована на охорону зовнішніх кордонів держав – членів ЄС від проникнення нелегальних мігрантів з третіх країн, ефективну боротьбу з організованою злочинністю, протидію терористичним актам тощо. В цьому плані важливе значення надається прикордонному співробітництву держав–учасниць Шенгенського простору, сприяючи тим самим подальшому розвитку єдиної інтегрованої системи управління зовнішніми кордонами цього об’єднання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(підрозділ 4.3)</w:t>
      </w:r>
      <w:r w:rsidR="00DB1B93" w:rsidRPr="007665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0660" w:rsidRPr="007665E6" w:rsidRDefault="00082529" w:rsidP="002D3B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>Принципово важливими в дисертації є положення, що стосуються здійсненої автором класифікації джерел Шенгенського acquis</w:t>
      </w:r>
      <w:r w:rsidR="001B0660" w:rsidRPr="007665E6">
        <w:rPr>
          <w:rFonts w:ascii="Times New Roman" w:hAnsi="Times New Roman" w:cs="Times New Roman"/>
          <w:sz w:val="28"/>
          <w:szCs w:val="28"/>
          <w:lang w:val="uk-UA"/>
        </w:rPr>
        <w:t>, що виходить з визнаної в праві ЄС класифікації, яка поділяє всі його джерела, перш за все, на основні та допоміжні.</w:t>
      </w:r>
      <w:r w:rsidR="002D3B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660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Зміст дисертаційного дослідження </w:t>
      </w:r>
      <w:proofErr w:type="spellStart"/>
      <w:r w:rsidR="001B0660" w:rsidRPr="007665E6">
        <w:rPr>
          <w:rFonts w:ascii="Times New Roman" w:hAnsi="Times New Roman" w:cs="Times New Roman"/>
          <w:sz w:val="28"/>
          <w:szCs w:val="28"/>
          <w:lang w:val="uk-UA"/>
        </w:rPr>
        <w:t>Мушак</w:t>
      </w:r>
      <w:proofErr w:type="spellEnd"/>
      <w:r w:rsidR="001B0660"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Н.Б. свідчить про те, що</w:t>
      </w:r>
      <w:r w:rsidR="002D3B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660" w:rsidRPr="007665E6">
        <w:rPr>
          <w:rFonts w:ascii="Times New Roman" w:hAnsi="Times New Roman" w:cs="Times New Roman"/>
          <w:sz w:val="28"/>
          <w:szCs w:val="28"/>
          <w:lang w:val="uk-UA"/>
        </w:rPr>
        <w:t>визначені в ньому завдання висвітлено в достатній мірі. Сформульовані в дисертації положення і висновки є цілком обґрунтованими.</w:t>
      </w:r>
    </w:p>
    <w:p w:rsidR="001B0660" w:rsidRPr="007665E6" w:rsidRDefault="001B0660" w:rsidP="001B066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>Достовірність та наукова новизна одержаних результатів.</w:t>
      </w:r>
      <w:r w:rsidR="00BE04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Наукова новизна проведеного дослідження не викликає сумнівів, адже</w:t>
      </w: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дисертація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Мушак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Н.Б. є першим комплексним у вітчизняній міжнародно-правовій науці дослідженням Шенгенського acquis як складової права ЄС, здійсненим на основі об’єктивного, всебічного аналізу та з</w:t>
      </w: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урахуванням змін, що відбулися в європейському праві протягом останніх</w:t>
      </w: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десятиліть. Дисертацію слід визнати самостійним і актуальним дослідженням</w:t>
      </w: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Шенгенського acquis у праві Європейського Союзу.</w:t>
      </w: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Науковою новизною, серед іншого, характеризуються такі наукові</w:t>
      </w: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положення та результати дослідження:</w:t>
      </w:r>
    </w:p>
    <w:p w:rsidR="001B0660" w:rsidRPr="007665E6" w:rsidRDefault="001B0660" w:rsidP="006F35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запропоновано визначення поняття Шенгенського acquis як комплексного за своїм значенням правового порядку ЄС, що характеризується існуванням системи правових рішень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ізаходів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як інструментів реалізації візової та імміграційної політики, політики щодо надання притулку, захисту персональних даних, співпраці держав – учасниць Шенгенського простору у межах функціонування Шенгенської інформаційної системи, Візової інформаційної системи, прикордонному співробітництву їх органів, співпраці судових, поліцейських органів та гармонізації їх національного законодавства з правовими нормами Шенгенського acquis;</w:t>
      </w:r>
    </w:p>
    <w:p w:rsidR="008B786B" w:rsidRPr="007665E6" w:rsidRDefault="001B0660" w:rsidP="006F35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>показано, що в основі спільної політики ЄС та держав-членів у сфері надання притулку громадянам третіх країн застосовується метод координації, визначений установчими договорами ЄС, його вторинним законодавством, практикою Суду ЄС та національним законодавством держав-членів. Він виражає спільну компетенцію ЄС та держав-членів з цього питання, покладаючи компетенцію на ЄС, з одного боку, і держави-члени, з іншого;</w:t>
      </w:r>
    </w:p>
    <w:p w:rsidR="008B786B" w:rsidRPr="007665E6" w:rsidRDefault="00D120C2" w:rsidP="006F35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представлено концептуальне бачення подальшого розширення Шенгенського простору, яке полягає у формуванні та розвитку на основі </w:t>
      </w:r>
      <w:proofErr w:type="spellStart"/>
      <w:r w:rsidRPr="007665E6">
        <w:rPr>
          <w:rFonts w:ascii="Times New Roman" w:hAnsi="Times New Roman" w:cs="Times New Roman"/>
          <w:sz w:val="28"/>
          <w:szCs w:val="28"/>
          <w:lang w:val="uk-UA"/>
        </w:rPr>
        <w:t>інституціоналізації</w:t>
      </w:r>
      <w:proofErr w:type="spellEnd"/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 правових рішень і заходів, пов’язаних з функціонуванням Шенгенського acquis;</w:t>
      </w:r>
    </w:p>
    <w:p w:rsidR="008B786B" w:rsidRPr="007665E6" w:rsidRDefault="001B0660" w:rsidP="006F35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>надано характеристику інституційного механізму співпраці України з державами – учасницями Шенгенського простору, представленого у вигляді комплексної системи, що складається з спільних органів сторін; органів, створених ЄС і Україною;</w:t>
      </w:r>
    </w:p>
    <w:p w:rsidR="008B786B" w:rsidRPr="007665E6" w:rsidRDefault="001B0660" w:rsidP="006F35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>визначено стадії і порядок входження держав-не членів ЄС до Шенгенського acquis, що передбачає виконання ними всього комплексу правових рішень і заходів, притаманних цьому правовому порядку;</w:t>
      </w:r>
    </w:p>
    <w:p w:rsidR="00D120C2" w:rsidRPr="007665E6" w:rsidRDefault="00D120C2" w:rsidP="006F35D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надано характеристику положень Візового кодексу, який уніфікував правовідносини, що стосуються поняття візи та їх категорій, процедури видачі віз та ухвалення рішень із візових питань, що на практиці підвищило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lastRenderedPageBreak/>
        <w:t>ефективність правового регулювання спільної візової політики ЄС та держав – учасниць Шенгенського простору.</w:t>
      </w:r>
    </w:p>
    <w:p w:rsidR="008B786B" w:rsidRPr="007665E6" w:rsidRDefault="00D120C2" w:rsidP="008B786B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>Наукова і практична цінність дисертації.</w:t>
      </w:r>
      <w:r w:rsidR="00BE04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Дане дослідження стосується важливої теоретичної проблеми міжнародного та європейського права, яка розкрита дисертанткою на досить високому науковому рівні, і може бути оцінене як її особистий внесок в розвиток вітчизняної науки міжнародного та європейського права, а також міжнародно-правової практики України.</w:t>
      </w:r>
      <w:r w:rsidR="00BE04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Практичне значення одержаних результатів полягає у тому, що матеріали дисертаційного дослідження можуть бути використані у науково-дослідній діяльності для подальших наукових досліджень проблем міжнародного та європейського права. Крім того, в процесі вивчення навчальних дисциплін «Міжнародне право», «Право Європейського Союзу» у вищих навчальних закладах, а також для підготовки підручників, навчальних посібників з відповідних навчальних дисциплін. Сформульовані у дисертації висновки та рекомендації можуть бути використані в міжнародно-правовій практиці України та для вдосконалення її відповідного законодавства.</w:t>
      </w:r>
    </w:p>
    <w:p w:rsidR="008B786B" w:rsidRPr="007665E6" w:rsidRDefault="00D120C2" w:rsidP="002D3BA5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>Повнота викладу наукових положень в опублікованих працях.</w:t>
      </w:r>
      <w:r w:rsidR="008B786B" w:rsidRPr="007665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>Основні результати дисертаційної роботи достатньо повно висвітлено у наукових публікаціях дисертанта. Її посилання на опублікування досліджень за дисертацією є достовірними. Основні положення та результати дисертаційного дослідження опубліковано в 71 науковій праці, зокрема: 2 одноосібних монографіях, 11 колективних монографіях, 24 статтях, опублікованих у фахових виданнях України з юридичних наук, 8 статтях, опублікованих у наукових періодичних юридичних виданнях інших держав, 4 статтях, що додатково відображають результати дисертаційного дослідження, 1 підручнику, 1 посібнику, 20 тезах доповідей на міжнародних та всеукраїнських науково-практичних конференціях, круглих столах, інших наукових форумах. Всі результати і висновки наукового дослідження, що винесені на захист, отримані здобувачем самостійно.</w:t>
      </w:r>
      <w:r w:rsidR="002D3B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Повнота викладу результатів дисертації відповідає встановленим вимогам. Кількість та обсяг публікацій, які розкривають </w:t>
      </w:r>
      <w:r w:rsidRPr="007665E6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основний зміст дисертації, свідчить про достатній та належний рівень апробації отриманих результатів.</w:t>
      </w:r>
    </w:p>
    <w:p w:rsidR="00B7491D" w:rsidRPr="007665E6" w:rsidRDefault="00D120C2" w:rsidP="008B786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Дискусійні положення дисертації та зауваження щодо змісту дисертації. </w:t>
      </w:r>
      <w:r w:rsidR="00B7491D" w:rsidRPr="007665E6">
        <w:rPr>
          <w:rFonts w:ascii="Times New Roman" w:hAnsi="Times New Roman" w:cs="Times New Roman"/>
          <w:sz w:val="28"/>
          <w:szCs w:val="28"/>
          <w:lang w:val="uk-UA"/>
        </w:rPr>
        <w:t>Відзначаючи внесок автора в розробку теми даної дисертаційної роботи та наукову новизну одержаних результатів, вважаємо за необхідне вказати на наступні дискусійні положення дисертації.</w:t>
      </w:r>
    </w:p>
    <w:p w:rsidR="00C648FA" w:rsidRPr="006F35D5" w:rsidRDefault="006F35D5" w:rsidP="001D5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C648FA" w:rsidRPr="006F35D5">
        <w:rPr>
          <w:rFonts w:ascii="Times New Roman" w:hAnsi="Times New Roman" w:cs="Times New Roman"/>
          <w:sz w:val="28"/>
          <w:szCs w:val="28"/>
          <w:lang w:val="uk-UA"/>
        </w:rPr>
        <w:t xml:space="preserve">Робота містить ряд методологічних недоліків. </w:t>
      </w:r>
    </w:p>
    <w:p w:rsidR="00C648FA" w:rsidRDefault="00D120C2" w:rsidP="001D5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717">
        <w:rPr>
          <w:rFonts w:ascii="Times New Roman" w:hAnsi="Times New Roman" w:cs="Times New Roman"/>
          <w:sz w:val="28"/>
          <w:szCs w:val="28"/>
          <w:lang w:val="uk-UA"/>
        </w:rPr>
        <w:t>У роботі</w:t>
      </w:r>
      <w:r w:rsidR="00DD2B97" w:rsidRPr="00546717">
        <w:rPr>
          <w:rFonts w:ascii="Times New Roman" w:hAnsi="Times New Roman" w:cs="Times New Roman"/>
          <w:sz w:val="28"/>
          <w:szCs w:val="28"/>
          <w:lang w:val="uk-UA"/>
        </w:rPr>
        <w:t xml:space="preserve"> автор досить часто використовує </w:t>
      </w:r>
      <w:proofErr w:type="spellStart"/>
      <w:r w:rsidR="00DD2B97" w:rsidRPr="006F35D5">
        <w:rPr>
          <w:rFonts w:ascii="Times New Roman" w:hAnsi="Times New Roman" w:cs="Times New Roman"/>
          <w:sz w:val="28"/>
          <w:szCs w:val="28"/>
          <w:lang w:val="uk-UA"/>
        </w:rPr>
        <w:t>терміно-поняття</w:t>
      </w:r>
      <w:proofErr w:type="spellEnd"/>
      <w:r w:rsidR="00DD2B97" w:rsidRPr="00546717">
        <w:rPr>
          <w:rFonts w:ascii="Times New Roman" w:hAnsi="Times New Roman" w:cs="Times New Roman"/>
          <w:sz w:val="28"/>
          <w:szCs w:val="28"/>
          <w:lang w:val="uk-UA"/>
        </w:rPr>
        <w:t>, не розкриваючи при цьому їх зміст</w:t>
      </w:r>
      <w:r w:rsidR="00546717" w:rsidRPr="00546717">
        <w:rPr>
          <w:rFonts w:ascii="Times New Roman" w:hAnsi="Times New Roman" w:cs="Times New Roman"/>
          <w:sz w:val="28"/>
          <w:szCs w:val="28"/>
          <w:lang w:val="uk-UA"/>
        </w:rPr>
        <w:t>овне наповнення</w:t>
      </w:r>
      <w:r w:rsidR="00DD2B97" w:rsidRPr="00546717">
        <w:rPr>
          <w:rFonts w:ascii="Times New Roman" w:hAnsi="Times New Roman" w:cs="Times New Roman"/>
          <w:sz w:val="28"/>
          <w:szCs w:val="28"/>
          <w:lang w:val="uk-UA"/>
        </w:rPr>
        <w:t>, а інколи маніпулюючи ними</w:t>
      </w:r>
      <w:r w:rsidR="00C648F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B33DC" w:rsidRPr="00D37864" w:rsidRDefault="00C648FA" w:rsidP="001D5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 </w:t>
      </w:r>
      <w:r w:rsidR="00DD2B97" w:rsidRPr="00546717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DD2B97" w:rsidRPr="00D37864">
        <w:rPr>
          <w:rFonts w:ascii="Times New Roman" w:hAnsi="Times New Roman" w:cs="Times New Roman"/>
          <w:sz w:val="28"/>
          <w:szCs w:val="28"/>
          <w:lang w:val="uk-UA"/>
        </w:rPr>
        <w:t xml:space="preserve">стор. 9 роботи, дисертантка констатує, що поняття «шенгенський простір» є </w:t>
      </w:r>
      <w:r w:rsidR="00546717" w:rsidRPr="00D3786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D2B97" w:rsidRPr="00D37864">
        <w:rPr>
          <w:rFonts w:ascii="Times New Roman" w:hAnsi="Times New Roman" w:cs="Times New Roman"/>
          <w:sz w:val="28"/>
          <w:szCs w:val="28"/>
          <w:lang w:val="uk-UA"/>
        </w:rPr>
        <w:t>надто складним</w:t>
      </w:r>
      <w:r w:rsidR="00546717" w:rsidRPr="00D37864">
        <w:rPr>
          <w:rFonts w:ascii="Times New Roman" w:hAnsi="Times New Roman" w:cs="Times New Roman"/>
          <w:sz w:val="28"/>
          <w:szCs w:val="28"/>
          <w:lang w:val="uk-UA"/>
        </w:rPr>
        <w:t xml:space="preserve">». В чому полягає така складність </w:t>
      </w:r>
      <w:r w:rsidR="00887267" w:rsidRPr="00D37864">
        <w:rPr>
          <w:rFonts w:ascii="Times New Roman" w:hAnsi="Times New Roman" w:cs="Times New Roman"/>
          <w:sz w:val="28"/>
          <w:szCs w:val="28"/>
          <w:lang w:val="uk-UA"/>
        </w:rPr>
        <w:t xml:space="preserve">у роботі </w:t>
      </w:r>
      <w:r w:rsidR="00546717" w:rsidRPr="00D37864">
        <w:rPr>
          <w:rFonts w:ascii="Times New Roman" w:hAnsi="Times New Roman" w:cs="Times New Roman"/>
          <w:sz w:val="28"/>
          <w:szCs w:val="28"/>
          <w:lang w:val="uk-UA"/>
        </w:rPr>
        <w:t>не визнач</w:t>
      </w:r>
      <w:r w:rsidR="00887267" w:rsidRPr="00D37864">
        <w:rPr>
          <w:rFonts w:ascii="Times New Roman" w:hAnsi="Times New Roman" w:cs="Times New Roman"/>
          <w:sz w:val="28"/>
          <w:szCs w:val="28"/>
          <w:lang w:val="uk-UA"/>
        </w:rPr>
        <w:t>ено</w:t>
      </w:r>
      <w:r w:rsidR="001B33DC" w:rsidRPr="00D3786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B33DC" w:rsidRPr="00D37864" w:rsidRDefault="001B33DC" w:rsidP="001D5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864">
        <w:rPr>
          <w:rFonts w:ascii="Times New Roman" w:hAnsi="Times New Roman" w:cs="Times New Roman"/>
          <w:sz w:val="28"/>
          <w:szCs w:val="28"/>
          <w:lang w:val="uk-UA"/>
        </w:rPr>
        <w:t>– підрозділ 1.1. має назву «Характер економічної та політичної інтеграції в Європі»¸</w:t>
      </w:r>
      <w:r w:rsidR="00643195" w:rsidRPr="00D37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69D6" w:rsidRPr="00D37864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Pr="00D37864">
        <w:rPr>
          <w:rFonts w:ascii="Times New Roman" w:hAnsi="Times New Roman" w:cs="Times New Roman"/>
          <w:sz w:val="28"/>
          <w:szCs w:val="28"/>
          <w:lang w:val="uk-UA"/>
        </w:rPr>
        <w:t xml:space="preserve"> ні в тексті підрозділу, ні у висновках до Розділу 1 не визначено, який саме характер має економічна та політична інтеграція в Європі</w:t>
      </w:r>
      <w:r w:rsidR="00C648FA" w:rsidRPr="00D3786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223C3" w:rsidRDefault="00C648FA" w:rsidP="001D5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864">
        <w:rPr>
          <w:rFonts w:ascii="Times New Roman" w:hAnsi="Times New Roman" w:cs="Times New Roman"/>
          <w:sz w:val="28"/>
          <w:szCs w:val="28"/>
          <w:lang w:val="uk-UA"/>
        </w:rPr>
        <w:t xml:space="preserve">– в якості предмету дослідження дисертантка </w:t>
      </w:r>
      <w:r w:rsidR="004223C3" w:rsidRPr="00D37864">
        <w:rPr>
          <w:rFonts w:ascii="Times New Roman" w:hAnsi="Times New Roman" w:cs="Times New Roman"/>
          <w:sz w:val="28"/>
          <w:szCs w:val="28"/>
          <w:lang w:val="uk-UA"/>
        </w:rPr>
        <w:t xml:space="preserve">визначає «правові рішення і заходи, що становлять Шенгенське </w:t>
      </w:r>
      <w:r w:rsidR="004223C3" w:rsidRPr="007665E6">
        <w:rPr>
          <w:rFonts w:ascii="Times New Roman" w:hAnsi="Times New Roman" w:cs="Times New Roman"/>
          <w:sz w:val="28"/>
          <w:szCs w:val="28"/>
          <w:lang w:val="uk-UA"/>
        </w:rPr>
        <w:t>acquis</w:t>
      </w:r>
      <w:r w:rsidR="004223C3">
        <w:rPr>
          <w:rFonts w:ascii="Times New Roman" w:hAnsi="Times New Roman" w:cs="Times New Roman"/>
          <w:sz w:val="28"/>
          <w:szCs w:val="28"/>
          <w:lang w:val="uk-UA"/>
        </w:rPr>
        <w:t xml:space="preserve"> як інструмент реалізації політики ЄС в межах цього правового простору». Однак, що таке правові рішення та заходи в дисертації не розкрито</w:t>
      </w:r>
      <w:r w:rsidR="005830C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765F8" w:rsidRDefault="006765F8" w:rsidP="001D5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 Потребують додаткового пояснення положень Дисертації стосовно наступного</w:t>
      </w:r>
      <w:r w:rsidR="00D3786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765F8" w:rsidRDefault="004223C3" w:rsidP="001D5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 </w:t>
      </w:r>
      <w:r w:rsidR="006765F8" w:rsidRPr="00D37864">
        <w:rPr>
          <w:rFonts w:ascii="Times New Roman" w:hAnsi="Times New Roman" w:cs="Times New Roman"/>
          <w:sz w:val="28"/>
          <w:szCs w:val="28"/>
          <w:lang w:val="uk-UA"/>
        </w:rPr>
        <w:t xml:space="preserve">предметом дослідження визначено «правові рішення і заходи, що становлять Шенгенське </w:t>
      </w:r>
      <w:r w:rsidR="006765F8" w:rsidRPr="007665E6">
        <w:rPr>
          <w:rFonts w:ascii="Times New Roman" w:hAnsi="Times New Roman" w:cs="Times New Roman"/>
          <w:sz w:val="28"/>
          <w:szCs w:val="28"/>
          <w:lang w:val="uk-UA"/>
        </w:rPr>
        <w:t>acquis</w:t>
      </w:r>
      <w:r w:rsidR="006765F8">
        <w:rPr>
          <w:rFonts w:ascii="Times New Roman" w:hAnsi="Times New Roman" w:cs="Times New Roman"/>
          <w:sz w:val="28"/>
          <w:szCs w:val="28"/>
          <w:lang w:val="uk-UA"/>
        </w:rPr>
        <w:t xml:space="preserve"> як інструмент реалізації політики ЄС в межах </w:t>
      </w:r>
      <w:r w:rsidR="006765F8" w:rsidRPr="00D37864">
        <w:rPr>
          <w:rFonts w:ascii="Times New Roman" w:hAnsi="Times New Roman" w:cs="Times New Roman"/>
          <w:sz w:val="28"/>
          <w:szCs w:val="28"/>
          <w:lang w:val="uk-UA"/>
        </w:rPr>
        <w:t>цього правового простору</w:t>
      </w:r>
      <w:r w:rsidR="006765F8">
        <w:rPr>
          <w:rFonts w:ascii="Times New Roman" w:hAnsi="Times New Roman" w:cs="Times New Roman"/>
          <w:sz w:val="28"/>
          <w:szCs w:val="28"/>
          <w:lang w:val="uk-UA"/>
        </w:rPr>
        <w:t xml:space="preserve">», тобто однозначно автор вважає </w:t>
      </w:r>
      <w:r w:rsidR="006765F8" w:rsidRPr="00D37864">
        <w:rPr>
          <w:rFonts w:ascii="Times New Roman" w:hAnsi="Times New Roman" w:cs="Times New Roman"/>
          <w:sz w:val="28"/>
          <w:szCs w:val="28"/>
          <w:lang w:val="uk-UA"/>
        </w:rPr>
        <w:t xml:space="preserve">Шенгенське </w:t>
      </w:r>
      <w:r w:rsidR="006765F8" w:rsidRPr="007665E6">
        <w:rPr>
          <w:rFonts w:ascii="Times New Roman" w:hAnsi="Times New Roman" w:cs="Times New Roman"/>
          <w:sz w:val="28"/>
          <w:szCs w:val="28"/>
          <w:lang w:val="uk-UA"/>
        </w:rPr>
        <w:t>acquis</w:t>
      </w:r>
      <w:r w:rsidR="006765F8">
        <w:rPr>
          <w:rFonts w:ascii="Times New Roman" w:hAnsi="Times New Roman" w:cs="Times New Roman"/>
          <w:sz w:val="28"/>
          <w:szCs w:val="28"/>
          <w:lang w:val="uk-UA"/>
        </w:rPr>
        <w:t xml:space="preserve"> правовим простором. Однак в науковій новизні </w:t>
      </w:r>
      <w:r w:rsidR="006765F8" w:rsidRPr="00D37864">
        <w:rPr>
          <w:rFonts w:ascii="Times New Roman" w:hAnsi="Times New Roman" w:cs="Times New Roman"/>
          <w:sz w:val="28"/>
          <w:szCs w:val="28"/>
          <w:lang w:val="uk-UA"/>
        </w:rPr>
        <w:t xml:space="preserve">Шенгенське </w:t>
      </w:r>
      <w:r w:rsidR="006765F8" w:rsidRPr="007665E6">
        <w:rPr>
          <w:rFonts w:ascii="Times New Roman" w:hAnsi="Times New Roman" w:cs="Times New Roman"/>
          <w:sz w:val="28"/>
          <w:szCs w:val="28"/>
          <w:lang w:val="uk-UA"/>
        </w:rPr>
        <w:t>acquis</w:t>
      </w:r>
      <w:r w:rsidR="006765F8">
        <w:rPr>
          <w:rFonts w:ascii="Times New Roman" w:hAnsi="Times New Roman" w:cs="Times New Roman"/>
          <w:sz w:val="28"/>
          <w:szCs w:val="28"/>
          <w:lang w:val="uk-UA"/>
        </w:rPr>
        <w:t xml:space="preserve"> вже визначається як правовий порядок</w:t>
      </w:r>
      <w:r w:rsidR="00DC48B2">
        <w:rPr>
          <w:rFonts w:ascii="Times New Roman" w:hAnsi="Times New Roman" w:cs="Times New Roman"/>
          <w:sz w:val="28"/>
          <w:szCs w:val="28"/>
          <w:lang w:val="uk-UA"/>
        </w:rPr>
        <w:t>, а потому як «форм</w:t>
      </w:r>
      <w:r w:rsidR="00BF594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C48B2">
        <w:rPr>
          <w:rFonts w:ascii="Times New Roman" w:hAnsi="Times New Roman" w:cs="Times New Roman"/>
          <w:sz w:val="28"/>
          <w:szCs w:val="28"/>
          <w:lang w:val="uk-UA"/>
        </w:rPr>
        <w:t xml:space="preserve"> інтеграційного процесу»</w:t>
      </w:r>
      <w:r w:rsidR="00F2134A">
        <w:rPr>
          <w:rFonts w:ascii="Times New Roman" w:hAnsi="Times New Roman" w:cs="Times New Roman"/>
          <w:sz w:val="28"/>
          <w:szCs w:val="28"/>
          <w:lang w:val="uk-UA"/>
        </w:rPr>
        <w:t xml:space="preserve">. Хотілося під час захисту почути від дисертанта як співвідносяться, з її точки зору, </w:t>
      </w:r>
      <w:r w:rsidR="00DC48B2">
        <w:rPr>
          <w:rFonts w:ascii="Times New Roman" w:hAnsi="Times New Roman" w:cs="Times New Roman"/>
          <w:sz w:val="28"/>
          <w:szCs w:val="28"/>
          <w:lang w:val="uk-UA"/>
        </w:rPr>
        <w:t>такі поняття, як «</w:t>
      </w:r>
      <w:r w:rsidR="00F2134A">
        <w:rPr>
          <w:rFonts w:ascii="Times New Roman" w:hAnsi="Times New Roman" w:cs="Times New Roman"/>
          <w:sz w:val="28"/>
          <w:szCs w:val="28"/>
          <w:lang w:val="uk-UA"/>
        </w:rPr>
        <w:t>правовий простір</w:t>
      </w:r>
      <w:r w:rsidR="00DC48B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2134A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DC48B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2134A">
        <w:rPr>
          <w:rFonts w:ascii="Times New Roman" w:hAnsi="Times New Roman" w:cs="Times New Roman"/>
          <w:sz w:val="28"/>
          <w:szCs w:val="28"/>
          <w:lang w:val="uk-UA"/>
        </w:rPr>
        <w:t>правовий порядок</w:t>
      </w:r>
      <w:r w:rsidR="00DC48B2">
        <w:rPr>
          <w:rFonts w:ascii="Times New Roman" w:hAnsi="Times New Roman" w:cs="Times New Roman"/>
          <w:sz w:val="28"/>
          <w:szCs w:val="28"/>
          <w:lang w:val="uk-UA"/>
        </w:rPr>
        <w:t xml:space="preserve">», а також </w:t>
      </w:r>
      <w:r w:rsidR="00295C3A">
        <w:rPr>
          <w:rFonts w:ascii="Times New Roman" w:hAnsi="Times New Roman" w:cs="Times New Roman"/>
          <w:sz w:val="28"/>
          <w:szCs w:val="28"/>
          <w:lang w:val="uk-UA"/>
        </w:rPr>
        <w:t>уточнити</w:t>
      </w:r>
      <w:r w:rsidR="00DC48B2">
        <w:rPr>
          <w:rFonts w:ascii="Times New Roman" w:hAnsi="Times New Roman" w:cs="Times New Roman"/>
          <w:sz w:val="28"/>
          <w:szCs w:val="28"/>
          <w:lang w:val="uk-UA"/>
        </w:rPr>
        <w:t xml:space="preserve">, що саме мається на увазі, коли </w:t>
      </w:r>
      <w:r w:rsidR="00DC48B2" w:rsidRPr="00D37864">
        <w:rPr>
          <w:rFonts w:ascii="Times New Roman" w:hAnsi="Times New Roman" w:cs="Times New Roman"/>
          <w:sz w:val="28"/>
          <w:szCs w:val="28"/>
          <w:lang w:val="uk-UA"/>
        </w:rPr>
        <w:t xml:space="preserve">Шенгенське </w:t>
      </w:r>
      <w:r w:rsidR="00DC48B2" w:rsidRPr="007665E6">
        <w:rPr>
          <w:rFonts w:ascii="Times New Roman" w:hAnsi="Times New Roman" w:cs="Times New Roman"/>
          <w:sz w:val="28"/>
          <w:szCs w:val="28"/>
          <w:lang w:val="uk-UA"/>
        </w:rPr>
        <w:t>acquis</w:t>
      </w:r>
      <w:r w:rsidR="00DC48B2">
        <w:rPr>
          <w:rFonts w:ascii="Times New Roman" w:hAnsi="Times New Roman" w:cs="Times New Roman"/>
          <w:sz w:val="28"/>
          <w:szCs w:val="28"/>
          <w:lang w:val="uk-UA"/>
        </w:rPr>
        <w:t xml:space="preserve"> у праві ЄС </w:t>
      </w:r>
      <w:r w:rsidR="00BF5948">
        <w:rPr>
          <w:rFonts w:ascii="Times New Roman" w:hAnsi="Times New Roman" w:cs="Times New Roman"/>
          <w:sz w:val="28"/>
          <w:szCs w:val="28"/>
          <w:lang w:val="uk-UA"/>
        </w:rPr>
        <w:t xml:space="preserve">розглядається </w:t>
      </w:r>
      <w:r w:rsidR="00DC48B2">
        <w:rPr>
          <w:rFonts w:ascii="Times New Roman" w:hAnsi="Times New Roman" w:cs="Times New Roman"/>
          <w:sz w:val="28"/>
          <w:szCs w:val="28"/>
          <w:lang w:val="uk-UA"/>
        </w:rPr>
        <w:t>як форм</w:t>
      </w:r>
      <w:r w:rsidR="00BF594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C48B2">
        <w:rPr>
          <w:rFonts w:ascii="Times New Roman" w:hAnsi="Times New Roman" w:cs="Times New Roman"/>
          <w:sz w:val="28"/>
          <w:szCs w:val="28"/>
          <w:lang w:val="uk-UA"/>
        </w:rPr>
        <w:t xml:space="preserve"> інтеграційного процесу</w:t>
      </w:r>
      <w:r w:rsidR="00D37864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F213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6132F" w:rsidRDefault="00EF4D4B" w:rsidP="001D5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– абсолютно вірно дисертантка наголошує на тому, що основу політичної співпраці між державами Шенгенського простору складають принципи. Однак система цих принципів автором не досліджується, </w:t>
      </w:r>
      <w:r w:rsidR="0086132F">
        <w:rPr>
          <w:rFonts w:ascii="Times New Roman" w:hAnsi="Times New Roman" w:cs="Times New Roman"/>
          <w:sz w:val="28"/>
          <w:szCs w:val="28"/>
          <w:lang w:val="uk-UA"/>
        </w:rPr>
        <w:t xml:space="preserve">їх по суті розглянуто </w:t>
      </w:r>
      <w:r w:rsidR="008369D6">
        <w:rPr>
          <w:rFonts w:ascii="Times New Roman" w:hAnsi="Times New Roman" w:cs="Times New Roman"/>
          <w:sz w:val="28"/>
          <w:szCs w:val="28"/>
          <w:lang w:val="uk-UA"/>
        </w:rPr>
        <w:t>відокремлено</w:t>
      </w:r>
      <w:r w:rsidR="0086132F">
        <w:rPr>
          <w:rFonts w:ascii="Times New Roman" w:hAnsi="Times New Roman" w:cs="Times New Roman"/>
          <w:sz w:val="28"/>
          <w:szCs w:val="28"/>
          <w:lang w:val="uk-UA"/>
        </w:rPr>
        <w:t xml:space="preserve"> один від одного;</w:t>
      </w:r>
    </w:p>
    <w:p w:rsidR="00F61BD8" w:rsidRDefault="00D37864" w:rsidP="001D5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– у роботі запропоновано поняття </w:t>
      </w:r>
      <w:r w:rsidRPr="00D37864">
        <w:rPr>
          <w:rFonts w:ascii="Times New Roman" w:hAnsi="Times New Roman" w:cs="Times New Roman"/>
          <w:sz w:val="28"/>
          <w:szCs w:val="28"/>
          <w:lang w:val="uk-UA"/>
        </w:rPr>
        <w:t>«інтегрована система управління зовнішніми кордонами ЄС»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«</w:t>
      </w:r>
      <w:r w:rsidRPr="00D37864">
        <w:rPr>
          <w:rFonts w:ascii="Times New Roman" w:hAnsi="Times New Roman" w:cs="Times New Roman"/>
          <w:sz w:val="28"/>
          <w:szCs w:val="28"/>
          <w:lang w:val="uk-UA"/>
        </w:rPr>
        <w:t>розгалужена організаційно-правова система, що складається з відомств і установ, що здійснюють охорону кордонів ЄС за допомогою прикордонних агенцій держав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7864">
        <w:rPr>
          <w:rFonts w:ascii="Times New Roman" w:hAnsi="Times New Roman" w:cs="Times New Roman"/>
          <w:sz w:val="28"/>
          <w:szCs w:val="28"/>
          <w:lang w:val="uk-UA"/>
        </w:rPr>
        <w:t>– членів»</w:t>
      </w:r>
      <w:r w:rsidR="001F2F6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B1FA8" w:rsidRDefault="001F2F66" w:rsidP="001D5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цілому погоджуючись з тим, що </w:t>
      </w:r>
      <w:r w:rsidRPr="00D37864">
        <w:rPr>
          <w:rFonts w:ascii="Times New Roman" w:hAnsi="Times New Roman" w:cs="Times New Roman"/>
          <w:sz w:val="28"/>
          <w:szCs w:val="28"/>
          <w:lang w:val="uk-UA"/>
        </w:rPr>
        <w:t>інтегрована система управління зовнішніми кордонами ЄС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Pr="00D37864">
        <w:rPr>
          <w:rFonts w:ascii="Times New Roman" w:hAnsi="Times New Roman" w:cs="Times New Roman"/>
          <w:sz w:val="28"/>
          <w:szCs w:val="28"/>
          <w:lang w:val="uk-UA"/>
        </w:rPr>
        <w:t>організаційно-правов</w:t>
      </w:r>
      <w:r w:rsidR="00F61BD8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240A9B">
        <w:rPr>
          <w:rFonts w:ascii="Times New Roman" w:hAnsi="Times New Roman" w:cs="Times New Roman"/>
          <w:sz w:val="28"/>
          <w:szCs w:val="28"/>
          <w:lang w:val="uk-UA"/>
        </w:rPr>
        <w:t xml:space="preserve"> системою</w:t>
      </w:r>
      <w:r w:rsidR="00EB1FA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61BD8">
        <w:rPr>
          <w:rFonts w:ascii="Times New Roman" w:hAnsi="Times New Roman" w:cs="Times New Roman"/>
          <w:sz w:val="28"/>
          <w:szCs w:val="28"/>
          <w:lang w:val="uk-UA"/>
        </w:rPr>
        <w:t xml:space="preserve"> разом з тим, не можна погодитись з </w:t>
      </w:r>
      <w:r w:rsidR="00EB1FA8">
        <w:rPr>
          <w:rFonts w:ascii="Times New Roman" w:hAnsi="Times New Roman" w:cs="Times New Roman"/>
          <w:sz w:val="28"/>
          <w:szCs w:val="28"/>
          <w:lang w:val="uk-UA"/>
        </w:rPr>
        <w:t>занадто вузьким підходом автора до розкриття категорії «</w:t>
      </w:r>
      <w:r w:rsidR="00EB1FA8" w:rsidRPr="00D37864">
        <w:rPr>
          <w:rFonts w:ascii="Times New Roman" w:hAnsi="Times New Roman" w:cs="Times New Roman"/>
          <w:sz w:val="28"/>
          <w:szCs w:val="28"/>
          <w:lang w:val="uk-UA"/>
        </w:rPr>
        <w:t>організаційно-правова</w:t>
      </w:r>
      <w:r w:rsidR="00EB1FA8">
        <w:rPr>
          <w:rFonts w:ascii="Times New Roman" w:hAnsi="Times New Roman" w:cs="Times New Roman"/>
          <w:sz w:val="28"/>
          <w:szCs w:val="28"/>
          <w:lang w:val="uk-UA"/>
        </w:rPr>
        <w:t>». Запропоноване визначення розкриває винятково організаційну складову системи</w:t>
      </w:r>
      <w:r w:rsidR="00A92BC7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EB1F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B1FA8" w:rsidRDefault="00A92BC7" w:rsidP="001D5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– цікавим є дослідження дисертанткою положень щодо діяльності </w:t>
      </w:r>
      <w:r w:rsidRPr="00A92BC7">
        <w:rPr>
          <w:rFonts w:ascii="Times New Roman" w:hAnsi="Times New Roman" w:cs="Times New Roman"/>
          <w:sz w:val="28"/>
          <w:szCs w:val="28"/>
          <w:lang w:val="uk-UA"/>
        </w:rPr>
        <w:t>Команди оперативного прикордонного реагування (</w:t>
      </w:r>
      <w:proofErr w:type="spellStart"/>
      <w:r w:rsidRPr="00A92BC7">
        <w:rPr>
          <w:rFonts w:ascii="Times New Roman" w:hAnsi="Times New Roman" w:cs="Times New Roman"/>
          <w:sz w:val="28"/>
          <w:szCs w:val="28"/>
          <w:lang w:val="uk-UA"/>
        </w:rPr>
        <w:t>Рабітс</w:t>
      </w:r>
      <w:proofErr w:type="spellEnd"/>
      <w:r w:rsidRPr="00A92BC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C6B51">
        <w:rPr>
          <w:rFonts w:ascii="Times New Roman" w:hAnsi="Times New Roman" w:cs="Times New Roman"/>
          <w:sz w:val="28"/>
          <w:szCs w:val="28"/>
          <w:lang w:val="uk-UA"/>
        </w:rPr>
        <w:t xml:space="preserve">, що дало можливість сформулювати один із пунктів новизни. Разом з тим, виникає питання, які підстави вважати </w:t>
      </w:r>
      <w:proofErr w:type="spellStart"/>
      <w:r w:rsidR="00FC6B51">
        <w:rPr>
          <w:rFonts w:ascii="Times New Roman" w:hAnsi="Times New Roman" w:cs="Times New Roman"/>
          <w:sz w:val="28"/>
          <w:szCs w:val="28"/>
          <w:lang w:val="uk-UA"/>
        </w:rPr>
        <w:t>Рабітс</w:t>
      </w:r>
      <w:proofErr w:type="spellEnd"/>
      <w:r w:rsidR="00FC6B51">
        <w:rPr>
          <w:rFonts w:ascii="Times New Roman" w:hAnsi="Times New Roman" w:cs="Times New Roman"/>
          <w:sz w:val="28"/>
          <w:szCs w:val="28"/>
          <w:lang w:val="uk-UA"/>
        </w:rPr>
        <w:t xml:space="preserve"> саме механізмом. </w:t>
      </w:r>
      <w:r w:rsidR="006F35D5">
        <w:rPr>
          <w:rFonts w:ascii="Times New Roman" w:hAnsi="Times New Roman" w:cs="Times New Roman"/>
          <w:sz w:val="28"/>
          <w:szCs w:val="28"/>
          <w:lang w:val="uk-UA"/>
        </w:rPr>
        <w:t>Більш того, при дослідженні цього питання, автор проявила певну наукову недбалість. По тексту роботи зустрічається, як «</w:t>
      </w:r>
      <w:proofErr w:type="spellStart"/>
      <w:r w:rsidR="006F35D5">
        <w:rPr>
          <w:rFonts w:ascii="Times New Roman" w:hAnsi="Times New Roman" w:cs="Times New Roman"/>
          <w:sz w:val="28"/>
          <w:szCs w:val="28"/>
          <w:lang w:val="uk-UA"/>
        </w:rPr>
        <w:t>Рабіт</w:t>
      </w:r>
      <w:proofErr w:type="spellEnd"/>
      <w:r w:rsidR="006F35D5">
        <w:rPr>
          <w:rFonts w:ascii="Times New Roman" w:hAnsi="Times New Roman" w:cs="Times New Roman"/>
          <w:sz w:val="28"/>
          <w:szCs w:val="28"/>
          <w:lang w:val="uk-UA"/>
        </w:rPr>
        <w:t>», так і «</w:t>
      </w:r>
      <w:proofErr w:type="spellStart"/>
      <w:r w:rsidR="006F35D5">
        <w:rPr>
          <w:rFonts w:ascii="Times New Roman" w:hAnsi="Times New Roman" w:cs="Times New Roman"/>
          <w:sz w:val="28"/>
          <w:szCs w:val="28"/>
          <w:lang w:val="uk-UA"/>
        </w:rPr>
        <w:t>Рабітс</w:t>
      </w:r>
      <w:proofErr w:type="spellEnd"/>
      <w:r w:rsidR="006F35D5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proofErr w:type="spellStart"/>
      <w:r w:rsidR="006F35D5">
        <w:rPr>
          <w:rFonts w:ascii="Times New Roman" w:hAnsi="Times New Roman" w:cs="Times New Roman"/>
          <w:sz w:val="28"/>
          <w:szCs w:val="28"/>
          <w:lang w:val="uk-UA"/>
        </w:rPr>
        <w:t>Конктексний</w:t>
      </w:r>
      <w:proofErr w:type="spellEnd"/>
      <w:r w:rsidR="006F35D5">
        <w:rPr>
          <w:rFonts w:ascii="Times New Roman" w:hAnsi="Times New Roman" w:cs="Times New Roman"/>
          <w:sz w:val="28"/>
          <w:szCs w:val="28"/>
          <w:lang w:val="uk-UA"/>
        </w:rPr>
        <w:t xml:space="preserve"> аналіз дисертації дав підстави вважати, що зміс</w:t>
      </w:r>
      <w:r w:rsidR="001D5209">
        <w:rPr>
          <w:rFonts w:ascii="Times New Roman" w:hAnsi="Times New Roman" w:cs="Times New Roman"/>
          <w:sz w:val="28"/>
          <w:szCs w:val="28"/>
          <w:lang w:val="uk-UA"/>
        </w:rPr>
        <w:t>товно, це один і той же термін.</w:t>
      </w:r>
    </w:p>
    <w:p w:rsidR="001D5209" w:rsidRPr="00A92BC7" w:rsidRDefault="001D5209" w:rsidP="001D5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2B97" w:rsidRDefault="0086132F" w:rsidP="001D52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132F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k-UA"/>
        </w:rPr>
        <w:t>Недостатньо обґрунтован</w:t>
      </w:r>
      <w:r w:rsidR="00E63769">
        <w:rPr>
          <w:rFonts w:ascii="Times New Roman" w:hAnsi="Times New Roman" w:cs="Times New Roman"/>
          <w:sz w:val="28"/>
          <w:szCs w:val="28"/>
          <w:lang w:val="uk-UA"/>
        </w:rPr>
        <w:t>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позиція щодо віднесення до наукової новизни представленої роботи етап</w:t>
      </w:r>
      <w:r w:rsidR="00E63769">
        <w:rPr>
          <w:rFonts w:ascii="Times New Roman" w:hAnsi="Times New Roman" w:cs="Times New Roman"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Шенгенського простору</w:t>
      </w:r>
      <w:r w:rsidR="004C134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026E1" w:rsidRDefault="004C1342" w:rsidP="008B786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Дисертація містить граматичні неточності та логічні повтори (стор. </w:t>
      </w:r>
      <w:r w:rsidRPr="00A92BC7">
        <w:rPr>
          <w:rFonts w:ascii="Times New Roman" w:hAnsi="Times New Roman" w:cs="Times New Roman"/>
          <w:sz w:val="28"/>
          <w:szCs w:val="28"/>
          <w:lang w:val="uk-UA"/>
        </w:rPr>
        <w:t>27</w:t>
      </w:r>
      <w:r w:rsidR="00A92BC7">
        <w:rPr>
          <w:rFonts w:ascii="Times New Roman" w:hAnsi="Times New Roman" w:cs="Times New Roman"/>
          <w:sz w:val="28"/>
          <w:szCs w:val="28"/>
          <w:lang w:val="uk-UA"/>
        </w:rPr>
        <w:t>, 158</w:t>
      </w:r>
      <w:r w:rsidRPr="00A92BC7">
        <w:rPr>
          <w:rFonts w:ascii="Times New Roman" w:hAnsi="Times New Roman" w:cs="Times New Roman"/>
          <w:sz w:val="28"/>
          <w:szCs w:val="28"/>
          <w:lang w:val="uk-UA"/>
        </w:rPr>
        <w:t xml:space="preserve"> і далі </w:t>
      </w:r>
      <w:r w:rsidR="00E63769" w:rsidRPr="00A92BC7">
        <w:rPr>
          <w:rFonts w:ascii="Times New Roman" w:hAnsi="Times New Roman" w:cs="Times New Roman"/>
          <w:sz w:val="28"/>
          <w:szCs w:val="28"/>
          <w:lang w:val="uk-UA"/>
        </w:rPr>
        <w:t>по тексту)</w:t>
      </w:r>
      <w:r w:rsidR="00BF594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026E1" w:rsidRPr="007665E6" w:rsidRDefault="008C34C5" w:rsidP="00C026E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65E6">
        <w:rPr>
          <w:rFonts w:ascii="Times New Roman" w:hAnsi="Times New Roman" w:cs="Times New Roman"/>
          <w:sz w:val="28"/>
          <w:szCs w:val="28"/>
          <w:lang w:val="uk-UA"/>
        </w:rPr>
        <w:t xml:space="preserve">Зазначені зауваження та дискусійні положення жодним чином не впливають на загальну високу оцінку даної дисертаційної роботи, яка, безумовно, характеризується висвітленням змісту досліджуваної проблеми та </w:t>
      </w:r>
    </w:p>
    <w:p w:rsidR="006138CE" w:rsidRPr="007665E6" w:rsidRDefault="00C026E1" w:rsidP="006138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00709"/>
            <wp:effectExtent l="19050" t="0" r="0" b="0"/>
            <wp:docPr id="2" name="Рисунок 2" descr="C:\Documents and Settings\1\Мои документы\SWScan005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SWScan0057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8CE" w:rsidRPr="007665E6" w:rsidSect="002D3BA5">
      <w:footerReference w:type="default" r:id="rId8"/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1D0" w:rsidRDefault="00AB21D0" w:rsidP="007665E6">
      <w:pPr>
        <w:spacing w:after="0" w:line="240" w:lineRule="auto"/>
      </w:pPr>
      <w:r>
        <w:separator/>
      </w:r>
    </w:p>
  </w:endnote>
  <w:endnote w:type="continuationSeparator" w:id="0">
    <w:p w:rsidR="00AB21D0" w:rsidRDefault="00AB21D0" w:rsidP="00766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9815208"/>
      <w:docPartObj>
        <w:docPartGallery w:val="Page Numbers (Bottom of Page)"/>
        <w:docPartUnique/>
      </w:docPartObj>
    </w:sdtPr>
    <w:sdtContent>
      <w:p w:rsidR="002975E1" w:rsidRDefault="003576C5">
        <w:pPr>
          <w:pStyle w:val="a7"/>
          <w:jc w:val="center"/>
        </w:pPr>
        <w:r>
          <w:fldChar w:fldCharType="begin"/>
        </w:r>
        <w:r w:rsidR="002975E1">
          <w:instrText>PAGE   \* MERGEFORMAT</w:instrText>
        </w:r>
        <w:r>
          <w:fldChar w:fldCharType="separate"/>
        </w:r>
        <w:r w:rsidR="00C026E1">
          <w:rPr>
            <w:noProof/>
          </w:rPr>
          <w:t>8</w:t>
        </w:r>
        <w:r>
          <w:fldChar w:fldCharType="end"/>
        </w:r>
      </w:p>
    </w:sdtContent>
  </w:sdt>
  <w:p w:rsidR="002975E1" w:rsidRDefault="002975E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1D0" w:rsidRDefault="00AB21D0" w:rsidP="007665E6">
      <w:pPr>
        <w:spacing w:after="0" w:line="240" w:lineRule="auto"/>
      </w:pPr>
      <w:r>
        <w:separator/>
      </w:r>
    </w:p>
  </w:footnote>
  <w:footnote w:type="continuationSeparator" w:id="0">
    <w:p w:rsidR="00AB21D0" w:rsidRDefault="00AB21D0" w:rsidP="00766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205254"/>
    <w:multiLevelType w:val="hybridMultilevel"/>
    <w:tmpl w:val="E918C2AC"/>
    <w:lvl w:ilvl="0" w:tplc="3B72D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B41265A"/>
    <w:multiLevelType w:val="hybridMultilevel"/>
    <w:tmpl w:val="D33AD5AE"/>
    <w:lvl w:ilvl="0" w:tplc="E3CEEBBA">
      <w:start w:val="1"/>
      <w:numFmt w:val="bullet"/>
      <w:lvlText w:val="-"/>
      <w:lvlJc w:val="left"/>
      <w:pPr>
        <w:ind w:left="1113" w:hanging="360"/>
      </w:pPr>
      <w:rPr>
        <w:rFonts w:ascii="Calibri" w:eastAsiaTheme="minorHAnsi" w:hAnsi="Calibri" w:cs="Calibr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2">
    <w:nsid w:val="5EF766C6"/>
    <w:multiLevelType w:val="hybridMultilevel"/>
    <w:tmpl w:val="51B28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8F387F"/>
    <w:multiLevelType w:val="hybridMultilevel"/>
    <w:tmpl w:val="D07EE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429A"/>
    <w:rsid w:val="00033FAA"/>
    <w:rsid w:val="00082529"/>
    <w:rsid w:val="001A6C51"/>
    <w:rsid w:val="001B0660"/>
    <w:rsid w:val="001B33DC"/>
    <w:rsid w:val="001D5209"/>
    <w:rsid w:val="001F2F66"/>
    <w:rsid w:val="00240A9B"/>
    <w:rsid w:val="00295C3A"/>
    <w:rsid w:val="002975E1"/>
    <w:rsid w:val="002D3769"/>
    <w:rsid w:val="002D3BA5"/>
    <w:rsid w:val="003576C5"/>
    <w:rsid w:val="00396550"/>
    <w:rsid w:val="003A1818"/>
    <w:rsid w:val="004223C3"/>
    <w:rsid w:val="004472D2"/>
    <w:rsid w:val="00465625"/>
    <w:rsid w:val="004818A7"/>
    <w:rsid w:val="004C1342"/>
    <w:rsid w:val="00546717"/>
    <w:rsid w:val="005830C6"/>
    <w:rsid w:val="005A33E3"/>
    <w:rsid w:val="006138CE"/>
    <w:rsid w:val="00643195"/>
    <w:rsid w:val="006657FB"/>
    <w:rsid w:val="006765F8"/>
    <w:rsid w:val="006F35D5"/>
    <w:rsid w:val="0072429A"/>
    <w:rsid w:val="00755C91"/>
    <w:rsid w:val="007665E6"/>
    <w:rsid w:val="007854F7"/>
    <w:rsid w:val="008369D6"/>
    <w:rsid w:val="0086132F"/>
    <w:rsid w:val="00887267"/>
    <w:rsid w:val="008B786B"/>
    <w:rsid w:val="008C34C5"/>
    <w:rsid w:val="0098731D"/>
    <w:rsid w:val="00A92BC7"/>
    <w:rsid w:val="00AB21D0"/>
    <w:rsid w:val="00AD680B"/>
    <w:rsid w:val="00B36A74"/>
    <w:rsid w:val="00B7491D"/>
    <w:rsid w:val="00BB3D8D"/>
    <w:rsid w:val="00BE047E"/>
    <w:rsid w:val="00BF5948"/>
    <w:rsid w:val="00C026E1"/>
    <w:rsid w:val="00C648FA"/>
    <w:rsid w:val="00C71863"/>
    <w:rsid w:val="00D120C2"/>
    <w:rsid w:val="00D37864"/>
    <w:rsid w:val="00DB1B93"/>
    <w:rsid w:val="00DC48B2"/>
    <w:rsid w:val="00DD2B97"/>
    <w:rsid w:val="00E63769"/>
    <w:rsid w:val="00EB1FA8"/>
    <w:rsid w:val="00EF4D4B"/>
    <w:rsid w:val="00F2134A"/>
    <w:rsid w:val="00F61BD8"/>
    <w:rsid w:val="00F933BC"/>
    <w:rsid w:val="00FA731D"/>
    <w:rsid w:val="00FC6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91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13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120C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D120C2"/>
    <w:rPr>
      <w:rFonts w:ascii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766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65E6"/>
  </w:style>
  <w:style w:type="paragraph" w:styleId="a9">
    <w:name w:val="Balloon Text"/>
    <w:basedOn w:val="a"/>
    <w:link w:val="aa"/>
    <w:uiPriority w:val="99"/>
    <w:semiHidden/>
    <w:unhideWhenUsed/>
    <w:rsid w:val="002975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975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2193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7</cp:revision>
  <cp:lastPrinted>2019-05-20T07:33:00Z</cp:lastPrinted>
  <dcterms:created xsi:type="dcterms:W3CDTF">2019-05-20T13:11:00Z</dcterms:created>
  <dcterms:modified xsi:type="dcterms:W3CDTF">2019-05-21T07:34:00Z</dcterms:modified>
</cp:coreProperties>
</file>