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17" w:rsidRDefault="00015917" w:rsidP="00015917">
      <w:pPr>
        <w:pStyle w:val="7"/>
        <w:spacing w:before="0"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28B9">
        <w:rPr>
          <w:rFonts w:ascii="Times New Roman" w:hAnsi="Times New Roman"/>
          <w:b/>
          <w:sz w:val="28"/>
          <w:szCs w:val="28"/>
        </w:rPr>
        <w:t>АНОТАЦІЯ</w:t>
      </w:r>
    </w:p>
    <w:p w:rsidR="00015917" w:rsidRPr="00E7261F" w:rsidRDefault="00015917" w:rsidP="00015917">
      <w:pPr>
        <w:jc w:val="both"/>
        <w:rPr>
          <w:lang w:val="uk-UA" w:eastAsia="uk-UA"/>
        </w:rPr>
      </w:pPr>
    </w:p>
    <w:p w:rsidR="0004716B" w:rsidRPr="003652C8" w:rsidRDefault="0004716B" w:rsidP="0004716B">
      <w:pPr>
        <w:pStyle w:val="a5"/>
        <w:spacing w:line="360" w:lineRule="auto"/>
        <w:ind w:firstLine="539"/>
        <w:jc w:val="both"/>
        <w:rPr>
          <w:rFonts w:ascii="Times New Roman" w:cs="Times New Roman"/>
          <w:color w:val="auto"/>
          <w:spacing w:val="-4"/>
          <w:sz w:val="28"/>
          <w:szCs w:val="28"/>
          <w:lang w:val="uk-UA"/>
        </w:rPr>
      </w:pPr>
      <w:r w:rsidRPr="003652C8">
        <w:rPr>
          <w:rFonts w:ascii="Times New Roman" w:cs="Times New Roman"/>
          <w:i/>
          <w:iCs/>
          <w:color w:val="auto"/>
          <w:spacing w:val="-4"/>
          <w:sz w:val="28"/>
          <w:szCs w:val="28"/>
          <w:lang w:val="uk-UA"/>
        </w:rPr>
        <w:t xml:space="preserve">Чорна О.С. </w:t>
      </w:r>
      <w:r w:rsidRPr="003652C8">
        <w:rPr>
          <w:rFonts w:ascii="Times New Roman" w:cs="Times New Roman"/>
          <w:color w:val="auto"/>
          <w:spacing w:val="-4"/>
          <w:sz w:val="28"/>
          <w:szCs w:val="28"/>
          <w:lang w:val="uk-UA"/>
        </w:rPr>
        <w:t>Кримінальна відповідальність за невиконання судового рішення. – Кваліфікаційна наукова праця на правах рукопису.</w:t>
      </w:r>
    </w:p>
    <w:p w:rsidR="0004716B" w:rsidRPr="003652C8" w:rsidRDefault="0004716B" w:rsidP="000471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652C8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081 «Право» (08 – Право). –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>. В. М. 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>. В. М. 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2C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652C8">
        <w:rPr>
          <w:rFonts w:ascii="Times New Roman" w:hAnsi="Times New Roman" w:cs="Times New Roman"/>
          <w:sz w:val="28"/>
          <w:szCs w:val="28"/>
        </w:rPr>
        <w:t>, 2020.</w:t>
      </w:r>
    </w:p>
    <w:p w:rsidR="0004716B" w:rsidRDefault="0004716B" w:rsidP="0004716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2C8">
        <w:rPr>
          <w:rFonts w:ascii="Times New Roman" w:hAnsi="Times New Roman" w:cs="Times New Roman"/>
          <w:sz w:val="28"/>
          <w:szCs w:val="28"/>
          <w:lang w:val="uk-UA"/>
        </w:rPr>
        <w:t>У дисертації здійснено теоретичне узагальнення та нове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завдання, що полягало у поглибленні та систематизації наукових знань у сфері кримінально-правової охорони відносин, пов’язаних з виконанням судових рішень, а також пошуку нових шляхів розв’язання проблем кримінальної відповідальності за такі діяння. 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Сформульовано висновок стосовно того, що родовий об’єкт злочинів проти правосуддя можна визначити як суспільні відносини між учасниками судочинства та іншими зацікавленими особами з приводу досягнення справедливого результату судової процедури.</w:t>
      </w:r>
    </w:p>
    <w:p w:rsidR="0004716B" w:rsidRPr="004138E4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Посилено аргументами науковий підхід, згідно з яким безпосередній об’єкт невиконання судового рішення має поділятися на основний безпосередній і додатковий безпосередній (факультативний). Основним безпосереднім об’єктом цього злочину є суспільні відносини у сфері правосуддя, що забезпечують повне і своєчасне виконання судового рішення. Додатковим факультативним об’єктом злочину можуть бути конституційні права і свободи людини і громадянина, власність, економічні інтереси </w:t>
      </w:r>
      <w:r w:rsidRPr="004138E4"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 тощо.</w:t>
      </w:r>
    </w:p>
    <w:p w:rsidR="0004716B" w:rsidRPr="004138E4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9556697"/>
      <w:r w:rsidRPr="004138E4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попередніми дослідженнями більш виразно обґрунтовано концепт щодо потерпілого як факультативної ознаки складу злочину, передбаченого ст. 382 КК України. Водночас на підставі вивчення вітчизняних і міжнародних правових актів, матеріалів відповідної юридичної практики, наукових джерел та прийомів теорії пізнання зроблено </w:t>
      </w:r>
      <w:r w:rsidRPr="004138E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переконливий висновок, що потерпілий від злочину, передбаченого частинами 1 – 3 аналізованої статті, фігурує в абсолютній більшості кримінальних проваджень.</w:t>
      </w:r>
    </w:p>
    <w:bookmarkEnd w:id="0"/>
    <w:p w:rsidR="0004716B" w:rsidRDefault="0004716B" w:rsidP="000471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8E4">
        <w:rPr>
          <w:rFonts w:ascii="Times New Roman" w:hAnsi="Times New Roman" w:cs="Times New Roman"/>
          <w:sz w:val="28"/>
          <w:szCs w:val="28"/>
          <w:lang w:val="uk-UA"/>
        </w:rPr>
        <w:t>Підтримано «широкий</w:t>
      </w:r>
      <w:r>
        <w:rPr>
          <w:rFonts w:ascii="Times New Roman" w:hAnsi="Times New Roman" w:cs="Times New Roman"/>
          <w:sz w:val="28"/>
          <w:szCs w:val="28"/>
          <w:lang w:val="uk-UA"/>
        </w:rPr>
        <w:t>» підхід до тлумачення змісту предмета злочину та доповнено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належними аргументами. Зокрема, існує низка судових рішень, якими справа не вирішується по суті, але ці рішення є важливими передумовами для одержання доказів, застосування запобіжних заходів, виконання інших юридично значущих дій, від чого залежить доля справи. Виключення їх зі змісту предмета відповідного злочину створить перепони для відправлення правосуддя.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наукове бачення, згідно з яким ключові поняття об’єктивної сторони складу невиконання судового рішення поділено на родові («невиконання» і «неналежне виконання») та видові. Родове поняття «невиконання» об’єднує такі видові поняття, як: 1) відмова виконати судове рішення; 2) ухилення від виконання, не пов’язане з прямою відмовою. Ці форми злочинної поведінки аналізуються з позиції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lege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lata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Інше родове поняття – «неналежне виконання» охоплює також два видові поняття: 1) часткове виконання судового рішення; 2) надмірно тривале виконання судового рішення. Останні пропонуються в аспекті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lege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ferenda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оскільки диспозиція ч. 1 ст. 382 КК України не передбачає ознак неналежного та надмірно тривалого виконання судового рішення. Зазначені ознаки описано як результат теоретичного моделювання, як мислимі форми поведінки у цій сфері, що ґрунтується на практиці ЄСПЛ і вітчизняній судовій практиці. Сформульовано дефініції відповідних видових понять.</w:t>
      </w:r>
    </w:p>
    <w:p w:rsidR="0004716B" w:rsidRDefault="0004716B" w:rsidP="000471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встановлення моменту вчинення аналізованого злочину визнано доцільним застосування системного прийому тлумачення, під час якого враховуються такі обставини: 1) форма об’єктивного прояву діяння (відмова, ухилення, перешкоджання тощо); 2) зміст предмета злочину (різновид та процедура виконання судового рішення).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Підтримано позицію, згідно з якою суб’єкт невиконання судового рішення є спеціальним. Водночас суб’єкт перешкоджання виконанню судового рішення може бути в одних ситуаціях загальним, в інших – спеціальним.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Уточнено наукове тлумачення поняття службової особи (кваліфікуюча ознака за ч. 2 ст. 382 КК України), що потребує такого застереження: у ч. 2 ст. 382 КК України йдеться про будь-яку службову особу юридичних осіб як публічного, так і приватного права, за винятком тих, що передбачені у пунктах 2 і 3 примітки статті 368 КК України.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Сприйнято і посилено науковий підхід, згідно з яким розходження у тлумаченні певних термінів і словосполучень, пов’язаних з поняттям судимості, викликане відсутністю уніфікованого підходу законодавця до текстуального оформлення своєї волі. На цій підставі запропоновано викласти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зазначену ознаку, що стосується спеціального суб’єкта аналізованого складу злочину, у такій редакції: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«особою, що має судимість за злочин, передбачений цією статтею»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Сформульовано висновок про неможливість притягнення до кримінальної відповідальності за ч. 1 ст. 382 КК України фізичної особи, яка не виконала судове рішення через необережність. У кваліфікованих складах цього злочину, коли службова особа через нехтування своїми обов’язками не виконала судове рішення або не проконтролювала його виконання, що спричинило істотну шкоду чи тяжкі наслідки, є підстави для судження про наявність в її діянні ознак службової недбалості (ст. 367 КК України). Водночас, на думку дисертантки, необережне ставлення особи (не лише службової) до наслідків є можливим в особливо кваліфікованому складі цього злочину, де обставиною, яка обтяжує ступінь суспільної небезпеки вчиненого, постає заподіяння істотної шкоди охоронюваним законом правам і свободам громадян, державним чи громадським інтересам або інтересам юридичних осіб (ч. 3 ст. 382 КК України). Виявлено критичне ставлення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наукової позиції, згідно з якою невиконання судового рішення або перешкоджання його виконанню може вчинятися з непрямим умислом. 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всі три різновиди невиконання рішення ЄСПЛ, а саме: 1) невиплата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стягувачеві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відшкодування; 2) невжиття додаткових заходів індивідуального характеру та 3) невжиття заходів загального характеру – можуть характеризуватися такими різновидами злочинної поведінки, як повне невиконання (власне невиконання), часткове невиконання (неналежне виконання) та надмірно тривале виконання, запропоновано уточнити ці положення шляхом формулювання примітки ст. 382 КК України.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спільні ознаки, які дають змогу визнавати певні склади злочинів суміжними щодо невиконання судового рішення. До таких ознак належать: 1) наявність протиправної поведінки у формі злочинної бездіяльності суб’єкта (невиконання або ухилення від виконання певного юридичного обов’язку); 2) підтвердження факту існування цього обов’язку певним судовим актом; 3) наявність кола суспільних відносин у сфері правосуддя або у сфері захисту інших конституційних прав і свобод громадянина чи службової діяльності. На підставі перелічених ознак виокремлено низку статей, що містять склади злочинів, які мають бути визнані суміжними щодо невиконання судового рішення, а також здійснено розмежування цих складів злочинів зі складом невиконання судового рішення.</w:t>
      </w:r>
    </w:p>
    <w:p w:rsidR="0004716B" w:rsidRDefault="0004716B" w:rsidP="000471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ввести до наукового обігу поняття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«надмірна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пеналізація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під якою розуміється наявність у санкції кримінально-правової норми такого виду або міри основного чи додаткового покарання, в обов’язковому характері якого немає об’єктивної необхідності. На розвиток цього положення визнано необхідним удосконалити санкції кримінально-правових норм (відповідний проект міститься у висновках цього дослідження).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теоретичне моделювання нового виду покарання, який в порядку обговорення пропонується іменувати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«штрафна компенсація»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статті нового кримінального кодексу, в якій йтиметься про перелік видів покарань, серед останніх доцільно першим передбачити штрафну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компенсацію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потерпілому. В окремій статті слід визначити умови застосування цього виду покарання. У санкціях кримінально-правових норм, що міститимуть опис злочину, в складі якого потерпілий визнаватиметься обов’язковою ознакою, на першому місці серед видів покарань необхідно передбачати штрафну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компенсацію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шкоди, завданої потерпілому.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Штраф як вид покарання пропонується залишити лише в санкціях тих кримінально-правових норм, в яких описується склад злочину без потерпілого та/або об’єктом якого є державні чи громадські інтереси, а не інтереси фізичної особи. Якщо злочин одночасно посягає і на інтереси держави чи громади, і на інтереси фізичних осіб (наприклад, терористичний акт), то штрафну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компенсацію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передбачити як обов’язкове додаткове покарання в кумулятивній санкції.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доктринальну позицію, відповідно до якої виконання судового рішення особою під час кримінального провадження не може вважатися такою зміною обстановки, що призводить до втрати діянням суспільної небезпечності і відповідно не є підставою для застосування ст. 48 КК України. По-перше, така зміна обстановки має статися незалежно від волі особи, натомість виконання рішення суду залежить від волі суб’єкта. По-друге, не втрачається суспільна небезпечність вчиненого діяння, а також і подібних діянь – невиконання судового рішення так само залишається злочинним, є всі підстави вважати, що це правопорушення в майбутньому не зазнає декриміналізації. 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Наведено додаткові аргументи на користь думки про те, що подальше виконання обвинуваченим судового рішення може бути підставою його звільнення від кримінальної відповідальності у зв’язку зі зміною обстановки, внаслідок чого особа перестає бути суспільно небезпечною.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Подальше виконання судового рішення суб’єктом, притягненим до відповідальності, може розглядатися лише як дійове каяття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sui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generis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тобто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дії суб’єкта після вчиненого злочину, спрямовані на залагодження шкоди і відновлення стану, що існував до правопорушення.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Санкція ч. 1 ст. 382 КК України передбачає строк позбавлення волі до трьох років, тобто йдеться про умисний  нетяжкий злочин. Це унеможливлює застосування звільнення від кримінальної відповідальності у зв’язку з дійовим каяттям чи примиренням винного з потерпілим. Утім практика свідчить, що випадки позитивної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посткримінальної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правопорушників трапляються нерідко – судові рішення виконуються власне під час кримінального провадження. На цій підставі обґрунтована думка про доцільність звільнення таких осіб від кримінальної відповідальності відповідно до статей 45 або 46 КК України. З цією метою запропоновано виключити із статей 45 і 46 КК України слово «необережний». Такий підхід виходить за межі аналізованого складу злочину, що є виправданим зокрема з погляду на врахування принципу економії кримінальної репресії, а також доцільності більш широкого застосування диспозитивного методу кримінально-правового регулювання в умовах реінтеграції тимчасово окупованих територій України. 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Зроблено висновок, що поширеною підставою апеляційного скасування ухвал судів першої інстанції про звільнення від кримінальної відповідальності за невиконання судового рішення у зв’язку із закінченням строків давності є неправильне встановлення (чи взагалі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судом початку перебігу строків давності.</w:t>
      </w:r>
    </w:p>
    <w:p w:rsidR="0004716B" w:rsidRDefault="0004716B" w:rsidP="0004716B">
      <w:pPr>
        <w:pStyle w:val="a4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-4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-4"/>
          <w:sz w:val="28"/>
          <w:szCs w:val="28"/>
        </w:rPr>
        <w:t>Сформульовано рекомендації щодо вдосконалення кримінального законодавства.</w:t>
      </w:r>
    </w:p>
    <w:p w:rsidR="0004716B" w:rsidRDefault="0004716B" w:rsidP="0004716B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: кримінальна відповідальність, судове рішення, невиконання, перешкоджання, надмірно тривале виконання, часткове виконання судового рішення, покарання, звільнення від кримінальної відповідальності.</w:t>
      </w:r>
    </w:p>
    <w:p w:rsidR="0004716B" w:rsidRDefault="0004716B" w:rsidP="0004716B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015917" w:rsidRDefault="00015917" w:rsidP="0004716B">
      <w:pPr>
        <w:pStyle w:val="a5"/>
        <w:spacing w:line="360" w:lineRule="auto"/>
        <w:ind w:firstLine="540"/>
        <w:jc w:val="both"/>
        <w:rPr>
          <w:rFonts w:ascii="Times New Roman" w:cs="Times New Roman"/>
          <w:sz w:val="28"/>
          <w:szCs w:val="28"/>
          <w:lang w:val="uk-UA"/>
        </w:rPr>
      </w:pPr>
    </w:p>
    <w:p w:rsidR="007E04E1" w:rsidRPr="007E04E1" w:rsidRDefault="007E04E1" w:rsidP="007E04E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lastRenderedPageBreak/>
        <w:t>Список публікацій здобувача за темою дисертації: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4E1" w:rsidRPr="007E04E1" w:rsidRDefault="007E04E1" w:rsidP="007E04E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E04E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7E04E1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7E0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sz w:val="28"/>
          <w:szCs w:val="28"/>
        </w:rPr>
        <w:t>опубліковані</w:t>
      </w:r>
      <w:proofErr w:type="spellEnd"/>
      <w:r w:rsidRPr="007E0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7E0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7E0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sz w:val="28"/>
          <w:szCs w:val="28"/>
        </w:rPr>
        <w:t>результати</w:t>
      </w:r>
      <w:proofErr w:type="spellEnd"/>
      <w:r w:rsidRPr="007E0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sz w:val="28"/>
          <w:szCs w:val="28"/>
        </w:rPr>
        <w:t>дисертації</w:t>
      </w:r>
      <w:proofErr w:type="spellEnd"/>
      <w:r w:rsidRPr="007E04E1">
        <w:rPr>
          <w:rFonts w:ascii="Times New Roman" w:hAnsi="Times New Roman" w:cs="Times New Roman"/>
          <w:i/>
          <w:sz w:val="28"/>
          <w:szCs w:val="28"/>
        </w:rPr>
        <w:t>: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1. Чорна О. С. Щодо поняття службової особи, яка є суб’єктом злочину «невиконання судового рішення».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Наука і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правоохорона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>. 2015. № 4. С. 160–165.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2. Чорна О. С. Невиконання судового рішення: зміст предмета злочину.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Наука і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правоохорона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>. 2016. № 1. С. 189–196.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3. Чорна О. С. Про узгодженість поглядів щодо безпосереднього об’єкта злочину «невиконання судового рішення» теоретичним засадам класифікації об’єктів злочинів.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Наука і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правоохорона</w:t>
      </w:r>
      <w:proofErr w:type="spellEnd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 2018. № 4. С. </w:t>
      </w:r>
      <w:r w:rsidRPr="007E04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224–235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4. Чорна О. С. Порівняльно-правові дослідження проблем відповідальності за невиконання судового рішення: критичні міркування.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Eurasian</w:t>
      </w:r>
      <w:proofErr w:type="spellEnd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Academic</w:t>
      </w:r>
      <w:proofErr w:type="spellEnd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Research</w:t>
      </w:r>
      <w:proofErr w:type="spellEnd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Journal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>. 2019. № 5. С. 80 – 88.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5. Чорна О. С. Про тлумачення ознак суб’єкта складу злочину «невиконання судового рішення».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Наука і </w:t>
      </w:r>
      <w:proofErr w:type="spellStart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правоохорона</w:t>
      </w:r>
      <w:proofErr w:type="spellEnd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 2019. № 4 (46). С. 312</w:t>
      </w:r>
      <w:r w:rsidRPr="007E04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–324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4E1" w:rsidRPr="007E04E1" w:rsidRDefault="007E04E1" w:rsidP="007E04E1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6. Чорна О. С. Відповідальність за невиконання рішення Європейського суду з прав людини: проблеми удосконалення кримінально-правових норм. </w:t>
      </w:r>
      <w:proofErr w:type="spellStart"/>
      <w:proofErr w:type="gramStart"/>
      <w:r w:rsidRPr="007E04E1">
        <w:rPr>
          <w:rFonts w:ascii="Times New Roman" w:hAnsi="Times New Roman" w:cs="Times New Roman"/>
          <w:i/>
          <w:iCs/>
          <w:sz w:val="28"/>
          <w:szCs w:val="28"/>
          <w:lang w:val="en-US"/>
        </w:rPr>
        <w:t>Visegrad</w:t>
      </w:r>
      <w:proofErr w:type="spellEnd"/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en-US"/>
        </w:rPr>
        <w:t>Human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en-US"/>
        </w:rPr>
        <w:t>Rights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 2020. №</w:t>
      </w:r>
      <w:r w:rsidRPr="007E04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E04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>. 194–200.</w:t>
      </w:r>
    </w:p>
    <w:p w:rsidR="007E04E1" w:rsidRPr="007E04E1" w:rsidRDefault="007E04E1" w:rsidP="007E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4E1" w:rsidRPr="007E04E1" w:rsidRDefault="007E04E1" w:rsidP="007E04E1">
      <w:pPr>
        <w:shd w:val="clear" w:color="auto" w:fill="FFFFFF"/>
        <w:tabs>
          <w:tab w:val="left" w:pos="42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i/>
          <w:sz w:val="28"/>
          <w:szCs w:val="28"/>
          <w:lang w:val="uk-UA"/>
        </w:rPr>
        <w:t>які засвідчують апробацію матеріалів дисертації: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>7. Чорна О.</w:t>
      </w:r>
      <w:r w:rsidRPr="007E04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С. Невиконання судового рішення у класифікаційних категоріях злочинів проти правосуддя.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Політика в сфері боротьби зі злочинністю: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>., що відбулася 18 – 19 грудня 2015 року у Юридичному інституті Прикарпатського національного університету імені Василя Стефаника. Івано-Франківськ. 2016. С. 149–153.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lastRenderedPageBreak/>
        <w:t>8. Чорна О.</w:t>
      </w:r>
      <w:r w:rsidRPr="007E04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С. Дискусії щодо тлумачення змісту предмета злочину, передбаченого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ч.ч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1 – 3 ст. 382 КК України.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Протидія злочинності в Україні: кримінально-правові та кримінологічні аспекти 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Все-укр.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семінару (м. Миколаїв, 26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травн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2016 р.);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Є. О. Письменсь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кий. Миколаїв: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Луган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ун-т внутр. справ ім.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Е. О. Дідоре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>нка, 2016. С. 224–227.</w:t>
      </w:r>
    </w:p>
    <w:p w:rsidR="007E04E1" w:rsidRPr="007E04E1" w:rsidRDefault="007E04E1" w:rsidP="007E04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>9. Чорна О.</w:t>
      </w:r>
      <w:r w:rsidRPr="007E04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С. Надмірно тривале виконання судового рішення потребує криміналізації.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Правова реформа: концепція, мета, впровадження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: Зб. наук. праць. Матеріали VIII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(Київ, 23 лист. 2017 року) / за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. ред. Н. М. Пархоменко, М. М.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/>
        </w:rPr>
        <w:t>Шумила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/>
        </w:rPr>
        <w:t>. Київ: Ніка-Центр, 2017. С. 435–438.</w:t>
      </w:r>
    </w:p>
    <w:p w:rsidR="007E04E1" w:rsidRPr="007E04E1" w:rsidRDefault="007E04E1" w:rsidP="007E04E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10. Чорна О. С. Кримінальна відповідальність за невиконання судового рішення: деякі критичні зауваги щодо порівняльно-правових досліджень. </w:t>
      </w:r>
      <w:r w:rsidRPr="007E04E1">
        <w:rPr>
          <w:rFonts w:ascii="Times New Roman" w:hAnsi="Times New Roman" w:cs="Times New Roman"/>
          <w:i/>
          <w:iCs/>
          <w:sz w:val="28"/>
          <w:szCs w:val="28"/>
          <w:lang w:val="uk-UA" w:eastAsia="ar-SA"/>
        </w:rPr>
        <w:t xml:space="preserve">Кримінальне правопорушення: національний та зарубіжний виміри: </w:t>
      </w:r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матеріали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>Міжнар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>наук.-практ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>конф</w:t>
      </w:r>
      <w:proofErr w:type="spellEnd"/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>24 трав.  2019 р.,</w:t>
      </w:r>
      <w:r w:rsidRPr="007E04E1">
        <w:rPr>
          <w:rFonts w:ascii="Times New Roman" w:hAnsi="Times New Roman" w:cs="Times New Roman"/>
          <w:sz w:val="28"/>
          <w:szCs w:val="28"/>
          <w:lang w:val="uk-UA"/>
        </w:rPr>
        <w:t xml:space="preserve"> м. Одеса). Одеса:</w:t>
      </w:r>
      <w:r w:rsidRPr="007E04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Національний університет «Одеська юридична академія», 2019. C. 226–228.</w:t>
      </w:r>
    </w:p>
    <w:p w:rsidR="007E04E1" w:rsidRPr="007E04E1" w:rsidRDefault="007E04E1" w:rsidP="007E0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E04E1" w:rsidRDefault="007E04E1" w:rsidP="0004716B">
      <w:pPr>
        <w:pStyle w:val="a5"/>
        <w:spacing w:line="360" w:lineRule="auto"/>
        <w:ind w:firstLine="540"/>
        <w:jc w:val="both"/>
        <w:rPr>
          <w:rFonts w:ascii="Times New Roman" w:cs="Times New Roman"/>
          <w:sz w:val="28"/>
          <w:szCs w:val="28"/>
          <w:lang w:val="uk-UA"/>
        </w:rPr>
      </w:pPr>
    </w:p>
    <w:p w:rsidR="007E04E1" w:rsidRPr="00015917" w:rsidRDefault="007E04E1" w:rsidP="0004716B">
      <w:pPr>
        <w:pStyle w:val="a5"/>
        <w:spacing w:line="360" w:lineRule="auto"/>
        <w:ind w:firstLine="540"/>
        <w:jc w:val="both"/>
        <w:rPr>
          <w:rFonts w:asci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7E04E1" w:rsidRPr="00015917" w:rsidSect="00015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65" w:rsidRDefault="00871F65" w:rsidP="0004716B">
      <w:pPr>
        <w:spacing w:after="0" w:line="240" w:lineRule="auto"/>
      </w:pPr>
      <w:r>
        <w:separator/>
      </w:r>
    </w:p>
  </w:endnote>
  <w:endnote w:type="continuationSeparator" w:id="0">
    <w:p w:rsidR="00871F65" w:rsidRDefault="00871F65" w:rsidP="000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65" w:rsidRDefault="00871F65" w:rsidP="0004716B">
      <w:pPr>
        <w:spacing w:after="0" w:line="240" w:lineRule="auto"/>
      </w:pPr>
      <w:r>
        <w:separator/>
      </w:r>
    </w:p>
  </w:footnote>
  <w:footnote w:type="continuationSeparator" w:id="0">
    <w:p w:rsidR="00871F65" w:rsidRDefault="00871F65" w:rsidP="00047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7"/>
    <w:rsid w:val="00015917"/>
    <w:rsid w:val="0004716B"/>
    <w:rsid w:val="007E04E1"/>
    <w:rsid w:val="008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17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015917"/>
    <w:pPr>
      <w:spacing w:before="240" w:after="60" w:line="240" w:lineRule="auto"/>
      <w:ind w:firstLine="720"/>
      <w:jc w:val="both"/>
      <w:outlineLvl w:val="6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17"/>
  </w:style>
  <w:style w:type="character" w:customStyle="1" w:styleId="70">
    <w:name w:val="Заголовок 7 Знак"/>
    <w:basedOn w:val="a0"/>
    <w:link w:val="7"/>
    <w:rsid w:val="00015917"/>
    <w:rPr>
      <w:rFonts w:ascii="Calibri" w:eastAsia="Times New Roman" w:hAnsi="Calibri" w:cs="Calibri"/>
      <w:lang w:val="uk-UA" w:eastAsia="uk-UA"/>
    </w:rPr>
  </w:style>
  <w:style w:type="paragraph" w:customStyle="1" w:styleId="a4">
    <w:name w:val="Сноска"/>
    <w:uiPriority w:val="99"/>
    <w:rsid w:val="00015917"/>
    <w:pPr>
      <w:widowControl w:val="0"/>
      <w:spacing w:line="210" w:lineRule="exact"/>
      <w:ind w:firstLine="340"/>
      <w:jc w:val="both"/>
    </w:pPr>
    <w:rPr>
      <w:rFonts w:ascii="Calibri" w:eastAsia="Times New Roman" w:hAnsi="Calibri" w:cs="Calibri"/>
      <w:i/>
      <w:iCs/>
      <w:sz w:val="19"/>
      <w:szCs w:val="19"/>
      <w:lang w:eastAsia="ru-RU"/>
    </w:rPr>
  </w:style>
  <w:style w:type="paragraph" w:customStyle="1" w:styleId="a5">
    <w:name w:val="По умолчанию"/>
    <w:uiPriority w:val="99"/>
    <w:rsid w:val="00015917"/>
    <w:rPr>
      <w:rFonts w:ascii="Arial Unicode MS" w:eastAsia="Arial Unicode MS" w:hAnsi="Times New Roman" w:cs="Arial Unicode MS"/>
      <w:color w:val="000000"/>
      <w:sz w:val="22"/>
      <w:szCs w:val="22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16B"/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16B"/>
    <w:rPr>
      <w:rFonts w:ascii="Calibri" w:eastAsia="Times New Roman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17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015917"/>
    <w:pPr>
      <w:spacing w:before="240" w:after="60" w:line="240" w:lineRule="auto"/>
      <w:ind w:firstLine="720"/>
      <w:jc w:val="both"/>
      <w:outlineLvl w:val="6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17"/>
  </w:style>
  <w:style w:type="character" w:customStyle="1" w:styleId="70">
    <w:name w:val="Заголовок 7 Знак"/>
    <w:basedOn w:val="a0"/>
    <w:link w:val="7"/>
    <w:rsid w:val="00015917"/>
    <w:rPr>
      <w:rFonts w:ascii="Calibri" w:eastAsia="Times New Roman" w:hAnsi="Calibri" w:cs="Calibri"/>
      <w:lang w:val="uk-UA" w:eastAsia="uk-UA"/>
    </w:rPr>
  </w:style>
  <w:style w:type="paragraph" w:customStyle="1" w:styleId="a4">
    <w:name w:val="Сноска"/>
    <w:uiPriority w:val="99"/>
    <w:rsid w:val="00015917"/>
    <w:pPr>
      <w:widowControl w:val="0"/>
      <w:spacing w:line="210" w:lineRule="exact"/>
      <w:ind w:firstLine="340"/>
      <w:jc w:val="both"/>
    </w:pPr>
    <w:rPr>
      <w:rFonts w:ascii="Calibri" w:eastAsia="Times New Roman" w:hAnsi="Calibri" w:cs="Calibri"/>
      <w:i/>
      <w:iCs/>
      <w:sz w:val="19"/>
      <w:szCs w:val="19"/>
      <w:lang w:eastAsia="ru-RU"/>
    </w:rPr>
  </w:style>
  <w:style w:type="paragraph" w:customStyle="1" w:styleId="a5">
    <w:name w:val="По умолчанию"/>
    <w:uiPriority w:val="99"/>
    <w:rsid w:val="00015917"/>
    <w:rPr>
      <w:rFonts w:ascii="Arial Unicode MS" w:eastAsia="Arial Unicode MS" w:hAnsi="Times New Roman" w:cs="Arial Unicode MS"/>
      <w:color w:val="000000"/>
      <w:sz w:val="22"/>
      <w:szCs w:val="22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16B"/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16B"/>
    <w:rPr>
      <w:rFonts w:ascii="Calibri" w:eastAsia="Times New Roman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8731</Words>
  <Characters>4978</Characters>
  <Application>Microsoft Office Word</Application>
  <DocSecurity>0</DocSecurity>
  <Lines>41</Lines>
  <Paragraphs>27</Paragraphs>
  <ScaleCrop>false</ScaleCrop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Чёрная</dc:creator>
  <cp:keywords/>
  <dc:description/>
  <cp:lastModifiedBy>Оксана</cp:lastModifiedBy>
  <cp:revision>3</cp:revision>
  <dcterms:created xsi:type="dcterms:W3CDTF">2020-12-24T07:39:00Z</dcterms:created>
  <dcterms:modified xsi:type="dcterms:W3CDTF">2020-12-26T10:03:00Z</dcterms:modified>
</cp:coreProperties>
</file>