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60" w:rsidRPr="00B46F60" w:rsidRDefault="00B46F60" w:rsidP="00B46F60">
      <w:pPr>
        <w:spacing w:after="0"/>
        <w:ind w:firstLine="567"/>
        <w:jc w:val="right"/>
        <w:rPr>
          <w:rFonts w:ascii="Times New Roman" w:eastAsia="Calibri" w:hAnsi="Times New Roman" w:cs="Times New Roman"/>
          <w:i/>
          <w:spacing w:val="4"/>
          <w:sz w:val="28"/>
          <w:szCs w:val="28"/>
        </w:rPr>
      </w:pPr>
      <w:r w:rsidRPr="00B46F60">
        <w:rPr>
          <w:rFonts w:ascii="Times New Roman" w:eastAsia="Calibri" w:hAnsi="Times New Roman" w:cs="Times New Roman"/>
          <w:i/>
          <w:sz w:val="28"/>
          <w:szCs w:val="28"/>
        </w:rPr>
        <w:t xml:space="preserve">До </w:t>
      </w:r>
      <w:r w:rsidRPr="00B46F60">
        <w:rPr>
          <w:rFonts w:ascii="Times New Roman" w:eastAsia="Calibri" w:hAnsi="Times New Roman" w:cs="Times New Roman"/>
          <w:i/>
          <w:spacing w:val="4"/>
          <w:sz w:val="28"/>
          <w:szCs w:val="28"/>
        </w:rPr>
        <w:t xml:space="preserve">спеціалізованої вченої ради Д 26.236.02 </w:t>
      </w:r>
    </w:p>
    <w:p w:rsidR="00B46F60" w:rsidRPr="00B46F60" w:rsidRDefault="00B46F60" w:rsidP="00B46F60">
      <w:pPr>
        <w:spacing w:after="0"/>
        <w:ind w:firstLine="567"/>
        <w:jc w:val="right"/>
        <w:rPr>
          <w:rFonts w:ascii="Times New Roman" w:eastAsia="Calibri" w:hAnsi="Times New Roman" w:cs="Times New Roman"/>
          <w:i/>
          <w:spacing w:val="4"/>
          <w:sz w:val="28"/>
          <w:szCs w:val="28"/>
        </w:rPr>
      </w:pPr>
      <w:r w:rsidRPr="00B46F60">
        <w:rPr>
          <w:rFonts w:ascii="Times New Roman" w:eastAsia="Calibri" w:hAnsi="Times New Roman" w:cs="Times New Roman"/>
          <w:i/>
          <w:spacing w:val="4"/>
          <w:sz w:val="28"/>
          <w:szCs w:val="28"/>
        </w:rPr>
        <w:t xml:space="preserve">в Інституті держави і права ім. В.М. </w:t>
      </w:r>
      <w:proofErr w:type="spellStart"/>
      <w:r w:rsidRPr="00B46F60">
        <w:rPr>
          <w:rFonts w:ascii="Times New Roman" w:eastAsia="Calibri" w:hAnsi="Times New Roman" w:cs="Times New Roman"/>
          <w:i/>
          <w:spacing w:val="4"/>
          <w:sz w:val="28"/>
          <w:szCs w:val="28"/>
        </w:rPr>
        <w:t>Корецького</w:t>
      </w:r>
      <w:proofErr w:type="spellEnd"/>
      <w:r w:rsidRPr="00B46F60">
        <w:rPr>
          <w:rFonts w:ascii="Times New Roman" w:eastAsia="Calibri" w:hAnsi="Times New Roman" w:cs="Times New Roman"/>
          <w:i/>
          <w:spacing w:val="4"/>
          <w:sz w:val="28"/>
          <w:szCs w:val="28"/>
        </w:rPr>
        <w:t xml:space="preserve"> </w:t>
      </w:r>
    </w:p>
    <w:p w:rsidR="00B46F60" w:rsidRPr="00B46F60" w:rsidRDefault="00B46F60" w:rsidP="00B46F60">
      <w:pPr>
        <w:spacing w:after="0"/>
        <w:ind w:firstLine="567"/>
        <w:jc w:val="right"/>
        <w:rPr>
          <w:rFonts w:ascii="Times New Roman" w:eastAsia="Calibri" w:hAnsi="Times New Roman" w:cs="Times New Roman"/>
          <w:i/>
          <w:spacing w:val="4"/>
          <w:sz w:val="28"/>
          <w:szCs w:val="28"/>
        </w:rPr>
      </w:pPr>
      <w:r w:rsidRPr="00B46F60">
        <w:rPr>
          <w:rFonts w:ascii="Times New Roman" w:eastAsia="Calibri" w:hAnsi="Times New Roman" w:cs="Times New Roman"/>
          <w:i/>
          <w:spacing w:val="4"/>
          <w:sz w:val="28"/>
          <w:szCs w:val="28"/>
        </w:rPr>
        <w:t>НАН України</w:t>
      </w:r>
    </w:p>
    <w:p w:rsidR="00B46F60" w:rsidRPr="00B46F60" w:rsidRDefault="00B46F60" w:rsidP="00B46F60">
      <w:pPr>
        <w:spacing w:after="0"/>
        <w:ind w:firstLine="567"/>
        <w:jc w:val="center"/>
        <w:outlineLvl w:val="0"/>
        <w:rPr>
          <w:rFonts w:ascii="Times New Roman" w:eastAsia="Times New Roman" w:hAnsi="Times New Roman" w:cs="Times New Roman"/>
          <w:b/>
          <w:bCs/>
          <w:iCs/>
          <w:kern w:val="28"/>
          <w:sz w:val="32"/>
          <w:szCs w:val="32"/>
          <w:lang w:eastAsia="ru-RU"/>
        </w:rPr>
      </w:pP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r w:rsidRPr="00B46F60">
        <w:rPr>
          <w:rFonts w:ascii="Times New Roman" w:eastAsia="Times New Roman" w:hAnsi="Times New Roman" w:cs="Times New Roman"/>
          <w:b/>
          <w:bCs/>
          <w:i/>
          <w:iCs/>
          <w:sz w:val="28"/>
          <w:szCs w:val="28"/>
        </w:rPr>
        <w:t>ВІДГУК</w:t>
      </w: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r w:rsidRPr="00B46F60">
        <w:rPr>
          <w:rFonts w:ascii="Times New Roman" w:eastAsia="Times New Roman" w:hAnsi="Times New Roman" w:cs="Times New Roman"/>
          <w:b/>
          <w:bCs/>
          <w:i/>
          <w:iCs/>
          <w:sz w:val="28"/>
          <w:szCs w:val="28"/>
        </w:rPr>
        <w:t>офіційного опонента на дисертацію</w:t>
      </w: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proofErr w:type="spellStart"/>
      <w:r w:rsidRPr="00B46F60">
        <w:rPr>
          <w:rFonts w:ascii="Times New Roman" w:eastAsia="Times New Roman" w:hAnsi="Times New Roman" w:cs="Times New Roman"/>
          <w:b/>
          <w:bCs/>
          <w:i/>
          <w:iCs/>
          <w:sz w:val="28"/>
          <w:szCs w:val="28"/>
        </w:rPr>
        <w:t>Клочко</w:t>
      </w:r>
      <w:proofErr w:type="spellEnd"/>
      <w:r w:rsidRPr="00B46F60">
        <w:rPr>
          <w:rFonts w:ascii="Times New Roman" w:eastAsia="Times New Roman" w:hAnsi="Times New Roman" w:cs="Times New Roman"/>
          <w:b/>
          <w:bCs/>
          <w:i/>
          <w:iCs/>
          <w:sz w:val="28"/>
          <w:szCs w:val="28"/>
        </w:rPr>
        <w:t xml:space="preserve"> </w:t>
      </w:r>
      <w:proofErr w:type="spellStart"/>
      <w:r w:rsidRPr="00B46F60">
        <w:rPr>
          <w:rFonts w:ascii="Times New Roman" w:eastAsia="Times New Roman" w:hAnsi="Times New Roman" w:cs="Times New Roman"/>
          <w:b/>
          <w:bCs/>
          <w:i/>
          <w:iCs/>
          <w:sz w:val="28"/>
          <w:szCs w:val="28"/>
        </w:rPr>
        <w:t>Альони</w:t>
      </w:r>
      <w:proofErr w:type="spellEnd"/>
      <w:r w:rsidRPr="00B46F60">
        <w:rPr>
          <w:rFonts w:ascii="Times New Roman" w:eastAsia="Times New Roman" w:hAnsi="Times New Roman" w:cs="Times New Roman"/>
          <w:b/>
          <w:bCs/>
          <w:i/>
          <w:iCs/>
          <w:sz w:val="28"/>
          <w:szCs w:val="28"/>
        </w:rPr>
        <w:t xml:space="preserve"> Миколаївни</w:t>
      </w: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r w:rsidRPr="00B46F60">
        <w:rPr>
          <w:rFonts w:ascii="Times New Roman" w:eastAsia="Times New Roman" w:hAnsi="Times New Roman" w:cs="Times New Roman"/>
          <w:b/>
          <w:bCs/>
          <w:i/>
          <w:iCs/>
          <w:sz w:val="28"/>
          <w:szCs w:val="28"/>
        </w:rPr>
        <w:t>«</w:t>
      </w:r>
      <w:proofErr w:type="spellStart"/>
      <w:r w:rsidRPr="00B46F60">
        <w:rPr>
          <w:rFonts w:ascii="Times New Roman" w:eastAsia="Times New Roman" w:hAnsi="Times New Roman" w:cs="Times New Roman"/>
          <w:b/>
          <w:bCs/>
          <w:i/>
          <w:iCs/>
          <w:sz w:val="28"/>
          <w:szCs w:val="28"/>
        </w:rPr>
        <w:t>Теоретико-прикладні</w:t>
      </w:r>
      <w:proofErr w:type="spellEnd"/>
      <w:r w:rsidRPr="00B46F60">
        <w:rPr>
          <w:rFonts w:ascii="Times New Roman" w:eastAsia="Times New Roman" w:hAnsi="Times New Roman" w:cs="Times New Roman"/>
          <w:b/>
          <w:bCs/>
          <w:i/>
          <w:iCs/>
          <w:sz w:val="28"/>
          <w:szCs w:val="28"/>
        </w:rPr>
        <w:t xml:space="preserve"> засади протидії злочинам у сфері банківської </w:t>
      </w: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r w:rsidRPr="00B46F60">
        <w:rPr>
          <w:rFonts w:ascii="Times New Roman" w:eastAsia="Times New Roman" w:hAnsi="Times New Roman" w:cs="Times New Roman"/>
          <w:b/>
          <w:bCs/>
          <w:i/>
          <w:iCs/>
          <w:sz w:val="28"/>
          <w:szCs w:val="28"/>
        </w:rPr>
        <w:t xml:space="preserve">діяльності в Україні», подану на здобуття наукового ступеня </w:t>
      </w: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r w:rsidRPr="00B46F60">
        <w:rPr>
          <w:rFonts w:ascii="Times New Roman" w:eastAsia="Times New Roman" w:hAnsi="Times New Roman" w:cs="Times New Roman"/>
          <w:b/>
          <w:bCs/>
          <w:i/>
          <w:iCs/>
          <w:sz w:val="28"/>
          <w:szCs w:val="28"/>
        </w:rPr>
        <w:t xml:space="preserve">доктора юридичних наук зі спеціальності 12.00.08 – кримінальне право </w:t>
      </w:r>
    </w:p>
    <w:p w:rsidR="00B46F60" w:rsidRPr="00B46F60" w:rsidRDefault="00B46F60" w:rsidP="00B46F60">
      <w:pPr>
        <w:keepNext/>
        <w:spacing w:after="0"/>
        <w:jc w:val="center"/>
        <w:outlineLvl w:val="1"/>
        <w:rPr>
          <w:rFonts w:ascii="Times New Roman" w:eastAsia="Times New Roman" w:hAnsi="Times New Roman" w:cs="Times New Roman"/>
          <w:b/>
          <w:bCs/>
          <w:i/>
          <w:iCs/>
          <w:sz w:val="28"/>
          <w:szCs w:val="28"/>
        </w:rPr>
      </w:pPr>
      <w:r w:rsidRPr="00B46F60">
        <w:rPr>
          <w:rFonts w:ascii="Times New Roman" w:eastAsia="Times New Roman" w:hAnsi="Times New Roman" w:cs="Times New Roman"/>
          <w:b/>
          <w:bCs/>
          <w:i/>
          <w:iCs/>
          <w:sz w:val="28"/>
          <w:szCs w:val="28"/>
        </w:rPr>
        <w:t>та кримінологія; кримінально-виконавче право</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
          <w:bCs/>
          <w:sz w:val="28"/>
          <w:szCs w:val="28"/>
        </w:rPr>
        <w:t>Актуальність теми дисертаційного дослідження.</w:t>
      </w:r>
      <w:r w:rsidRPr="00B46F60">
        <w:rPr>
          <w:rFonts w:ascii="Times New Roman" w:eastAsia="Calibri" w:hAnsi="Times New Roman" w:cs="Times New Roman"/>
          <w:bCs/>
          <w:sz w:val="28"/>
          <w:szCs w:val="28"/>
        </w:rPr>
        <w:t xml:space="preserve"> В Україні відбувається реформування правоохоронних органів, покликаних протидіяти економічним деліктам, зокрема продовжується опрацювання законодавчої бази, необхідної для створення Бюро економічної безпеки (раніше Бюро фінансових розслідувань) як, треба так розуміти, </w:t>
      </w:r>
      <w:proofErr w:type="spellStart"/>
      <w:r w:rsidRPr="00B46F60">
        <w:rPr>
          <w:rFonts w:ascii="Times New Roman" w:eastAsia="Calibri" w:hAnsi="Times New Roman" w:cs="Times New Roman"/>
          <w:bCs/>
          <w:sz w:val="28"/>
          <w:szCs w:val="28"/>
        </w:rPr>
        <w:t>немілітаризованого</w:t>
      </w:r>
      <w:proofErr w:type="spellEnd"/>
      <w:r w:rsidRPr="00B46F60">
        <w:rPr>
          <w:rFonts w:ascii="Times New Roman" w:eastAsia="Calibri" w:hAnsi="Times New Roman" w:cs="Times New Roman"/>
          <w:bCs/>
          <w:sz w:val="28"/>
          <w:szCs w:val="28"/>
        </w:rPr>
        <w:t xml:space="preserve"> правонаступника Департаменту захисту економіки Національної поліції та податкової міліції. За всієї значущості організаційних і процесуальних чинників, включаючи питання підслідності, і розуміння тієї обставини, що ефективність законотворчості вимірюється передусім правозастосуванням, первинним (за логікою речей) має бути матеріальний кримінальний закон. Адже саме він, визначаючи, які акти поведінки в економічній сфері заборонено, та які кримінально-правові наслідки повинні наставати у випадку порушення відповідних заборон, буде спрямовувати професійну діяльність оновлених правоохоронних органів, слугуватиме інструментом у руках </w:t>
      </w:r>
      <w:proofErr w:type="spellStart"/>
      <w:r w:rsidRPr="00B46F60">
        <w:rPr>
          <w:rFonts w:ascii="Times New Roman" w:eastAsia="Calibri" w:hAnsi="Times New Roman" w:cs="Times New Roman"/>
          <w:bCs/>
          <w:sz w:val="28"/>
          <w:szCs w:val="28"/>
        </w:rPr>
        <w:t>правозастосувачів</w:t>
      </w:r>
      <w:proofErr w:type="spellEnd"/>
      <w:r w:rsidRPr="00B46F60">
        <w:rPr>
          <w:rFonts w:ascii="Times New Roman" w:eastAsia="Calibri" w:hAnsi="Times New Roman" w:cs="Times New Roman"/>
          <w:bCs/>
          <w:sz w:val="28"/>
          <w:szCs w:val="28"/>
        </w:rPr>
        <w:t xml:space="preserve">.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На сьогодні неодноразово «реформований» розділ </w:t>
      </w:r>
      <w:r w:rsidRPr="00B46F60">
        <w:rPr>
          <w:rFonts w:ascii="Times New Roman" w:eastAsia="Calibri" w:hAnsi="Times New Roman" w:cs="Times New Roman"/>
          <w:bCs/>
          <w:sz w:val="28"/>
          <w:szCs w:val="28"/>
          <w:lang w:val="en-US"/>
        </w:rPr>
        <w:t>VII</w:t>
      </w:r>
      <w:r w:rsidRPr="00B46F60">
        <w:rPr>
          <w:rFonts w:ascii="Times New Roman" w:eastAsia="Calibri" w:hAnsi="Times New Roman" w:cs="Times New Roman"/>
          <w:bCs/>
          <w:sz w:val="28"/>
          <w:szCs w:val="28"/>
        </w:rPr>
        <w:t xml:space="preserve"> Особливої частини КК України «Кримінальні правопорушення у сфері господарської діяльності» є еклектичним, розбалансованим набором недостатньо якісних заборон, який навряд чи здатен виконувати своє основне призначення – забезпечувати ефективну кримінально-правову охорону господарської та прирівняної до неї діяльності.</w:t>
      </w:r>
      <w:r w:rsidRPr="00B46F60">
        <w:rPr>
          <w:rFonts w:ascii="Times New Roman" w:eastAsia="Calibri" w:hAnsi="Times New Roman" w:cs="Times New Roman"/>
          <w:bCs/>
          <w:sz w:val="28"/>
          <w:szCs w:val="28"/>
          <w:lang w:val="ru-RU"/>
        </w:rPr>
        <w:t xml:space="preserve"> </w:t>
      </w:r>
      <w:r w:rsidRPr="00B46F60">
        <w:rPr>
          <w:rFonts w:ascii="Times New Roman" w:eastAsia="Calibri" w:hAnsi="Times New Roman" w:cs="Times New Roman"/>
          <w:bCs/>
          <w:sz w:val="28"/>
          <w:szCs w:val="28"/>
        </w:rPr>
        <w:t xml:space="preserve">Розроблення доктринальної моделі відповідного розділу КК України – справа </w:t>
      </w:r>
      <w:r w:rsidRPr="00B46F60">
        <w:rPr>
          <w:rFonts w:ascii="Times New Roman" w:eastAsia="Calibri" w:hAnsi="Times New Roman" w:cs="Times New Roman"/>
          <w:bCs/>
          <w:sz w:val="28"/>
          <w:szCs w:val="28"/>
        </w:rPr>
        <w:lastRenderedPageBreak/>
        <w:t xml:space="preserve">непроста, адже: 1) визначення завдань і меж дії кримінального закону в економічній сфері є похідним від соціально-економічної політики держави, а її напрями і параметри зазнають в Україні перманентних змін «від виборів і до виборів»; 2) треба шукати компроміс між публічними інтересами та інтересами суб’єктів господарювання, налагоджувати предметний діалог із кваліфікованими </w:t>
      </w:r>
      <w:proofErr w:type="spellStart"/>
      <w:r w:rsidRPr="00B46F60">
        <w:rPr>
          <w:rFonts w:ascii="Times New Roman" w:eastAsia="Calibri" w:hAnsi="Times New Roman" w:cs="Times New Roman"/>
          <w:bCs/>
          <w:sz w:val="28"/>
          <w:szCs w:val="28"/>
        </w:rPr>
        <w:t>правозастосувачами</w:t>
      </w:r>
      <w:proofErr w:type="spellEnd"/>
      <w:r w:rsidRPr="00B46F60">
        <w:rPr>
          <w:rFonts w:ascii="Times New Roman" w:eastAsia="Calibri" w:hAnsi="Times New Roman" w:cs="Times New Roman"/>
          <w:bCs/>
          <w:sz w:val="28"/>
          <w:szCs w:val="28"/>
        </w:rPr>
        <w:t xml:space="preserve"> і представниками бізнесу; 3)</w:t>
      </w:r>
      <w:r w:rsidRPr="00B46F60">
        <w:rPr>
          <w:rFonts w:ascii="Times New Roman" w:eastAsia="Calibri" w:hAnsi="Times New Roman" w:cs="Times New Roman"/>
          <w:bCs/>
          <w:sz w:val="28"/>
          <w:szCs w:val="28"/>
          <w:lang w:val="ru-RU"/>
        </w:rPr>
        <w:t xml:space="preserve"> </w:t>
      </w:r>
      <w:r w:rsidRPr="00B46F60">
        <w:rPr>
          <w:rFonts w:ascii="Times New Roman" w:eastAsia="Calibri" w:hAnsi="Times New Roman" w:cs="Times New Roman"/>
          <w:bCs/>
          <w:sz w:val="28"/>
          <w:szCs w:val="28"/>
        </w:rPr>
        <w:t xml:space="preserve">вказана модель передбачає не лише конструювання кримінально-правових заборон, які б передбачали відповідальність за суспільно небезпечні і більш-менш типові (розповсюджені) делікти (навіщо відтворювати у новому законодавстві ті статті чинного КК України, навпроти яких у збірках судової статистики стоять суцільні нулі?), і пошук соціально обґрунтованих </w:t>
      </w:r>
      <w:proofErr w:type="spellStart"/>
      <w:r w:rsidRPr="00B46F60">
        <w:rPr>
          <w:rFonts w:ascii="Times New Roman" w:eastAsia="Calibri" w:hAnsi="Times New Roman" w:cs="Times New Roman"/>
          <w:bCs/>
          <w:sz w:val="28"/>
          <w:szCs w:val="28"/>
        </w:rPr>
        <w:t>криміноутворювальних</w:t>
      </w:r>
      <w:proofErr w:type="spellEnd"/>
      <w:r w:rsidRPr="00B46F60">
        <w:rPr>
          <w:rFonts w:ascii="Times New Roman" w:eastAsia="Calibri" w:hAnsi="Times New Roman" w:cs="Times New Roman"/>
          <w:bCs/>
          <w:sz w:val="28"/>
          <w:szCs w:val="28"/>
        </w:rPr>
        <w:t xml:space="preserve"> ознак, а й оптимальне визначення зв’язків між цими заборонами та їхнє співвідношення з </w:t>
      </w:r>
      <w:proofErr w:type="spellStart"/>
      <w:r w:rsidRPr="00B46F60">
        <w:rPr>
          <w:rFonts w:ascii="Times New Roman" w:eastAsia="Calibri" w:hAnsi="Times New Roman" w:cs="Times New Roman"/>
          <w:bCs/>
          <w:sz w:val="28"/>
          <w:szCs w:val="28"/>
        </w:rPr>
        <w:t>адміністративно-</w:t>
      </w:r>
      <w:proofErr w:type="spellEnd"/>
      <w:r w:rsidRPr="00B46F60">
        <w:rPr>
          <w:rFonts w:ascii="Times New Roman" w:eastAsia="Calibri" w:hAnsi="Times New Roman" w:cs="Times New Roman"/>
          <w:bCs/>
          <w:sz w:val="28"/>
          <w:szCs w:val="28"/>
        </w:rPr>
        <w:t xml:space="preserve">, </w:t>
      </w:r>
      <w:proofErr w:type="spellStart"/>
      <w:r w:rsidRPr="00B46F60">
        <w:rPr>
          <w:rFonts w:ascii="Times New Roman" w:eastAsia="Calibri" w:hAnsi="Times New Roman" w:cs="Times New Roman"/>
          <w:bCs/>
          <w:sz w:val="28"/>
          <w:szCs w:val="28"/>
        </w:rPr>
        <w:t>фінансово-</w:t>
      </w:r>
      <w:proofErr w:type="spellEnd"/>
      <w:r w:rsidRPr="00B46F60">
        <w:rPr>
          <w:rFonts w:ascii="Times New Roman" w:eastAsia="Calibri" w:hAnsi="Times New Roman" w:cs="Times New Roman"/>
          <w:bCs/>
          <w:sz w:val="28"/>
          <w:szCs w:val="28"/>
        </w:rPr>
        <w:t xml:space="preserve"> та господарсько-правовими заборонами; 4) критичного осмислення і залучення в орбіту законотворчої діяльності потребують як напрацювання кримінально-правової доктрини, так і здобутки кримінології та економічної науки; 5) не обійтись без доречного звернення до зарубіжного досвіду кримінально-правової протидії економічним посяганням.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Зазначене вище повною мірою стосується і деліктів у банківській сфері. Складно не погодитись із тим, що забезпечення фінансової стабільності держави та її банківського сектору має надзвичайно важливе суспільне значення. Нестабільність фінансової системи веде до </w:t>
      </w:r>
      <w:hyperlink r:id="rId8" w:history="1">
        <w:r w:rsidRPr="00B46F60">
          <w:rPr>
            <w:rFonts w:ascii="Times New Roman" w:eastAsia="Calibri" w:hAnsi="Times New Roman" w:cs="Times New Roman"/>
            <w:bCs/>
            <w:sz w:val="28"/>
            <w:szCs w:val="28"/>
          </w:rPr>
          <w:t>зменшення надходжень до державного бюджету,</w:t>
        </w:r>
      </w:hyperlink>
      <w:r w:rsidRPr="00B46F60">
        <w:rPr>
          <w:rFonts w:ascii="Times New Roman" w:eastAsia="Calibri" w:hAnsi="Times New Roman" w:cs="Times New Roman"/>
          <w:bCs/>
          <w:sz w:val="28"/>
          <w:szCs w:val="28"/>
        </w:rPr>
        <w:t xml:space="preserve"> виникнення значних непередбачуваних витрат на порятунок фінансової системи, що обмежує державу в її можливостях забезпечувати належним чином конституційні права і свободи. Від платоспроможної роботи банків, страхових організацій, кредитних спілок та інших надавачів фінансових послуг залежить нормальне функціонування економічних відносин, позаяк виведення з ринку відповідних суб’єктів руйнує його загальну стабільність, призводить до втрат суб’єктів господарювання і вкладників. Запровадження банківського регулювання, яке б забезпечувало належний баланс між правами й інтересами власників банку, його кредиторів, клієнтів і вкладників, гарантувало б стабільність банківського </w:t>
      </w:r>
      <w:r w:rsidRPr="00B46F60">
        <w:rPr>
          <w:rFonts w:ascii="Times New Roman" w:eastAsia="Calibri" w:hAnsi="Times New Roman" w:cs="Times New Roman"/>
          <w:bCs/>
          <w:sz w:val="28"/>
          <w:szCs w:val="28"/>
        </w:rPr>
        <w:lastRenderedPageBreak/>
        <w:t>сектору і належний захист прав та інтересів вкладників і клієнтів банку, є конституційним обов’язком держави. Вона повинна не тільки запровадити законодавство, що найбільш повною мірою забезпечує дотримання конституційних прав і свобод, а й вживати необхідних заходів для того, щоб воно реально діяло, а не залишалось на папері</w:t>
      </w:r>
      <w:r w:rsidRPr="00B46F60">
        <w:rPr>
          <w:rFonts w:ascii="Times New Roman" w:eastAsia="Calibri" w:hAnsi="Times New Roman" w:cs="Times New Roman"/>
          <w:bCs/>
          <w:sz w:val="28"/>
          <w:szCs w:val="28"/>
          <w:vertAlign w:val="superscript"/>
        </w:rPr>
        <w:footnoteReference w:id="1"/>
      </w:r>
      <w:r w:rsidRPr="00B46F60">
        <w:rPr>
          <w:rFonts w:ascii="Times New Roman" w:eastAsia="Calibri" w:hAnsi="Times New Roman" w:cs="Times New Roman"/>
          <w:bCs/>
          <w:sz w:val="28"/>
          <w:szCs w:val="28"/>
        </w:rPr>
        <w:t>.</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У 2014–2015 рр. вітчизняна економіка, як відомо, зіштовхнулась із небаченими до цього викликами. Анексія Криму, війна на Донбасі, перманентно нестабільна політична ситуація всередині країни, аномальні коливання курсу національної валюти, «галопуюча» інфляція, зниження внутрішнього споживчого попиту, несприятлива зовнішньоекономічна кон’юнктура – кожен із цих чинників негативно вплинув на стан фінансово-економічної ситуації в Україні. Одним із найбільш вразливих до цих процесів виявився банківський сектор, кризові явища в якому посилились через відсутність належного регулювання та ефективного нагляду з боку НБУ і структурні дисбаланси, накопичені протягом останнього десятиліття. Іншим чинником кризи вітчизняної банківської системи, за свідченням фахівців, стала побудована в Україні олігархічна модель, в якій значна частина банків використовувалась різними олігархічними групами як інструмент фінансування діяльності відповідних бізнес-груп за рахунок депозитів фізичних осіб без належного нагляду за діяльністю банків з боку держави.</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Ефективність заходів впливу держави на процеси підтримання ліквідності банків, неспроможності банків і подолання кризових явищ у банківській сфері багато у чому залежить не лише від кваліфікації управлінців, а й від досконалості правових засобів державної підтримки банківського сектору у найскладніших умовах його функціонування. Ліквідація близько сотні банків протягом 2014–2017 рр. в Україні наочно продемонструвала ту обставину, що заходи впливу на банківську систему (рефінансування, обов’язкове страхування депозитів, встановлення нормативів тощо) нічого не варті без забезпечення правовими засобами доброчесності у банківській практиці.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lastRenderedPageBreak/>
        <w:t xml:space="preserve">У цьому контексті не може не поставати питання про роль і місце кримінального закону у мінімізації негативних проявів і зловживань у банківській сфері.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Так, доповнення КК України статтею 218-1 «Доведення банку до неплатоспроможності» поставило перед наукою низку питань, починаючи із доцільності самого факту виокремлення подібної кримінально-правової заборони, визначення її місця в системі вітчизняного законодавства про кримінальну відповідальність і завершуючи конструюванням відповідної статті КК та її ефективністю. Аналіз згаданої заборони дозволив наочно продемонструвати ту обставину, наскільки неякісно останнім часом оновлюється КК України: у ситуації з включенням до нього ст. 218-1 слід констатувати відсутність всіх підвалин успішної законотворчості у вигляді наукового знання, правової культури і законодавчої техніки. Як виявилось, ця кримінально-правова заборона поповнила когорту «мертвих» норм, що не в останню чергу пояснюється недосконалістю її чинної редакції і гарно ілюструється даними офіційної статистики</w:t>
      </w:r>
      <w:r w:rsidRPr="00B46F60">
        <w:rPr>
          <w:rFonts w:ascii="Times New Roman" w:eastAsia="Calibri" w:hAnsi="Times New Roman" w:cs="Times New Roman"/>
          <w:bCs/>
          <w:sz w:val="28"/>
          <w:szCs w:val="28"/>
          <w:vertAlign w:val="superscript"/>
        </w:rPr>
        <w:footnoteReference w:id="2"/>
      </w:r>
      <w:r w:rsidRPr="00B46F60">
        <w:rPr>
          <w:rFonts w:ascii="Times New Roman" w:eastAsia="Calibri" w:hAnsi="Times New Roman" w:cs="Times New Roman"/>
          <w:bCs/>
          <w:sz w:val="28"/>
          <w:szCs w:val="28"/>
        </w:rPr>
        <w:t xml:space="preserve">.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iCs/>
          <w:sz w:val="28"/>
          <w:szCs w:val="28"/>
        </w:rPr>
        <w:t>Актуальності обраній темі додає і суперечливість судової практики в частині скасування рішень НБУ та Фонду гарантування вкладів фізичних осіб про визнання банків неплатоспроможними, запровадження тимчасових адміністрацій, відкликання банківських ліцензій та ліквідації банків.</w:t>
      </w:r>
      <w:r w:rsidRPr="00B46F60">
        <w:rPr>
          <w:rFonts w:ascii="Times New Roman" w:eastAsia="Calibri" w:hAnsi="Times New Roman" w:cs="Times New Roman"/>
          <w:bCs/>
          <w:sz w:val="28"/>
          <w:szCs w:val="28"/>
        </w:rPr>
        <w:t xml:space="preserve"> </w:t>
      </w:r>
      <w:r w:rsidRPr="00B46F60">
        <w:rPr>
          <w:rFonts w:ascii="Times New Roman" w:eastAsia="Calibri" w:hAnsi="Times New Roman" w:cs="Times New Roman"/>
          <w:bCs/>
          <w:iCs/>
          <w:sz w:val="28"/>
          <w:szCs w:val="28"/>
        </w:rPr>
        <w:t>Вказана проблема перейшла в практичну площину, коли стосовно таких «банків» господарські суди почали порушувати провадження у справах про банкрутство за Законом України «Про відновлення платоспроможності боржника або визнання його банкрутом», тобто за загальною процедурою для юридичних осіб, а не за спеціальною банківською процедурою згідно із законами України «Про банки і банківську діяльність» і «Про систему гарантування вкладів фізичних осіб».</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lastRenderedPageBreak/>
        <w:t xml:space="preserve">Зі сказаного випливає необхідність наукового осмислення існуючого стану кримінально-правової боротьби з випадками доведення банків до неплатоспроможності, шляхів гармонізації кримінального і регулятивного законодавства та, як логічний підсумок такого доктринального дослідження, розроблення аргументованих й адресованих як законодавцю, так і </w:t>
      </w:r>
      <w:proofErr w:type="spellStart"/>
      <w:r w:rsidRPr="00B46F60">
        <w:rPr>
          <w:rFonts w:ascii="Times New Roman" w:eastAsia="Calibri" w:hAnsi="Times New Roman" w:cs="Times New Roman"/>
          <w:bCs/>
          <w:sz w:val="28"/>
          <w:szCs w:val="28"/>
        </w:rPr>
        <w:t>правозастосувачу</w:t>
      </w:r>
      <w:proofErr w:type="spellEnd"/>
      <w:r w:rsidRPr="00B46F60">
        <w:rPr>
          <w:rFonts w:ascii="Times New Roman" w:eastAsia="Calibri" w:hAnsi="Times New Roman" w:cs="Times New Roman"/>
          <w:bCs/>
          <w:sz w:val="28"/>
          <w:szCs w:val="28"/>
        </w:rPr>
        <w:t xml:space="preserve"> рекомендацій щодо зміни ситуації на краще. Зазначене стосується й інших кримінально-правових заборон, присвячених посяганням на сферу банківської діяльності. </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b/>
          <w:bCs/>
          <w:sz w:val="28"/>
          <w:szCs w:val="28"/>
        </w:rPr>
        <w:t xml:space="preserve">Достовірність та обґрунтованість переважної більшості наукових положень, висновків і рекомендацій, </w:t>
      </w:r>
      <w:r w:rsidRPr="00B46F60">
        <w:rPr>
          <w:rFonts w:ascii="Times New Roman" w:eastAsia="Calibri" w:hAnsi="Times New Roman" w:cs="Times New Roman"/>
          <w:bCs/>
          <w:sz w:val="28"/>
          <w:szCs w:val="28"/>
        </w:rPr>
        <w:t xml:space="preserve">сформульованих у дисертації </w:t>
      </w:r>
      <w:proofErr w:type="spellStart"/>
      <w:r w:rsidRPr="00B46F60">
        <w:rPr>
          <w:rFonts w:ascii="Times New Roman" w:eastAsia="Calibri" w:hAnsi="Times New Roman" w:cs="Times New Roman"/>
          <w:bCs/>
          <w:sz w:val="28"/>
          <w:szCs w:val="28"/>
        </w:rPr>
        <w:t>А.М. К</w:t>
      </w:r>
      <w:proofErr w:type="spellEnd"/>
      <w:r w:rsidRPr="00B46F60">
        <w:rPr>
          <w:rFonts w:ascii="Times New Roman" w:eastAsia="Calibri" w:hAnsi="Times New Roman" w:cs="Times New Roman"/>
          <w:bCs/>
          <w:sz w:val="28"/>
          <w:szCs w:val="28"/>
        </w:rPr>
        <w:t>лочко,</w:t>
      </w:r>
      <w:r w:rsidRPr="00B46F60">
        <w:rPr>
          <w:rFonts w:ascii="Times New Roman" w:eastAsia="Calibri" w:hAnsi="Times New Roman" w:cs="Times New Roman"/>
          <w:b/>
          <w:bCs/>
          <w:sz w:val="28"/>
          <w:szCs w:val="28"/>
        </w:rPr>
        <w:t xml:space="preserve"> </w:t>
      </w:r>
      <w:r w:rsidRPr="00B46F60">
        <w:rPr>
          <w:rFonts w:ascii="Times New Roman" w:eastAsia="Calibri" w:hAnsi="Times New Roman" w:cs="Times New Roman"/>
          <w:sz w:val="28"/>
          <w:szCs w:val="28"/>
        </w:rPr>
        <w:t xml:space="preserve">забезпечуються широтою і різноманітністю опрацьованої джерельної бази, веденням коректної полеміки, використанням низки різноманітних методів пізнання (с. 9–10), вдало підібраних з урахуванням предмета дисертаційного дослідження (с. 9), продуманою логікою викладення матеріалу, яка дозволила авторці виконати поставлені перед собою завдання (с. 8–9). </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sz w:val="28"/>
          <w:szCs w:val="28"/>
        </w:rPr>
        <w:t xml:space="preserve">Зокрема, слід схвально оцінити включення до структури роботи розділу 3 «Кримінологічна характеристика злочинності у сфері банківської діяльності», оскільки це забезпечило всебічність розкриття теми наукового дослідження і посилило аргументацію пропозицій </w:t>
      </w:r>
      <w:r w:rsidRPr="00B46F60">
        <w:rPr>
          <w:rFonts w:ascii="Times New Roman" w:eastAsia="Calibri" w:hAnsi="Times New Roman" w:cs="Times New Roman"/>
          <w:sz w:val="28"/>
          <w:szCs w:val="28"/>
          <w:lang w:val="en-US"/>
        </w:rPr>
        <w:t>de</w:t>
      </w:r>
      <w:r w:rsidRPr="00B46F60">
        <w:rPr>
          <w:rFonts w:ascii="Times New Roman" w:eastAsia="Calibri" w:hAnsi="Times New Roman" w:cs="Times New Roman"/>
          <w:sz w:val="28"/>
          <w:szCs w:val="28"/>
        </w:rPr>
        <w:t xml:space="preserve"> </w:t>
      </w:r>
      <w:proofErr w:type="spellStart"/>
      <w:r w:rsidRPr="00B46F60">
        <w:rPr>
          <w:rFonts w:ascii="Times New Roman" w:eastAsia="Calibri" w:hAnsi="Times New Roman" w:cs="Times New Roman"/>
          <w:sz w:val="28"/>
          <w:szCs w:val="28"/>
          <w:lang w:val="en-US"/>
        </w:rPr>
        <w:t>lege</w:t>
      </w:r>
      <w:proofErr w:type="spellEnd"/>
      <w:r w:rsidRPr="00B46F60">
        <w:rPr>
          <w:rFonts w:ascii="Times New Roman" w:eastAsia="Calibri" w:hAnsi="Times New Roman" w:cs="Times New Roman"/>
          <w:sz w:val="28"/>
          <w:szCs w:val="28"/>
        </w:rPr>
        <w:t xml:space="preserve"> </w:t>
      </w:r>
      <w:proofErr w:type="spellStart"/>
      <w:r w:rsidRPr="00B46F60">
        <w:rPr>
          <w:rFonts w:ascii="Times New Roman" w:eastAsia="Calibri" w:hAnsi="Times New Roman" w:cs="Times New Roman"/>
          <w:sz w:val="28"/>
          <w:szCs w:val="28"/>
          <w:lang w:val="en-US"/>
        </w:rPr>
        <w:t>ferenda</w:t>
      </w:r>
      <w:proofErr w:type="spellEnd"/>
      <w:r w:rsidRPr="00B46F60">
        <w:rPr>
          <w:rFonts w:ascii="Times New Roman" w:eastAsia="Calibri" w:hAnsi="Times New Roman" w:cs="Times New Roman"/>
          <w:sz w:val="28"/>
          <w:szCs w:val="28"/>
        </w:rPr>
        <w:t xml:space="preserve">, сформульованих </w:t>
      </w:r>
      <w:proofErr w:type="spellStart"/>
      <w:r w:rsidRPr="00B46F60">
        <w:rPr>
          <w:rFonts w:ascii="Times New Roman" w:eastAsia="Calibri" w:hAnsi="Times New Roman" w:cs="Times New Roman"/>
          <w:sz w:val="28"/>
          <w:szCs w:val="28"/>
        </w:rPr>
        <w:t>А.М. К</w:t>
      </w:r>
      <w:proofErr w:type="spellEnd"/>
      <w:r w:rsidRPr="00B46F60">
        <w:rPr>
          <w:rFonts w:ascii="Times New Roman" w:eastAsia="Calibri" w:hAnsi="Times New Roman" w:cs="Times New Roman"/>
          <w:sz w:val="28"/>
          <w:szCs w:val="28"/>
        </w:rPr>
        <w:t>лочко. Д</w:t>
      </w:r>
      <w:r w:rsidRPr="00B46F60">
        <w:rPr>
          <w:rFonts w:ascii="Times New Roman" w:eastAsia="Calibri" w:hAnsi="Times New Roman" w:cs="Times New Roman"/>
          <w:bCs/>
          <w:iCs/>
          <w:sz w:val="28"/>
          <w:szCs w:val="28"/>
        </w:rPr>
        <w:t xml:space="preserve">осить часто фахівці зі спеціальності 12.00.08 за відповідними законодавчими формулюваннями не бачать реальної картини конкретного різновиду злочинності, для протидії якому призначені певні кримінально-правові заборони. У цьому сенсі дисертація пані </w:t>
      </w:r>
      <w:proofErr w:type="spellStart"/>
      <w:r w:rsidRPr="00B46F60">
        <w:rPr>
          <w:rFonts w:ascii="Times New Roman" w:eastAsia="Calibri" w:hAnsi="Times New Roman" w:cs="Times New Roman"/>
          <w:bCs/>
          <w:iCs/>
          <w:sz w:val="28"/>
          <w:szCs w:val="28"/>
        </w:rPr>
        <w:t>Альони</w:t>
      </w:r>
      <w:proofErr w:type="spellEnd"/>
      <w:r w:rsidRPr="00B46F60">
        <w:rPr>
          <w:rFonts w:ascii="Times New Roman" w:eastAsia="Calibri" w:hAnsi="Times New Roman" w:cs="Times New Roman"/>
          <w:bCs/>
          <w:iCs/>
          <w:sz w:val="28"/>
          <w:szCs w:val="28"/>
        </w:rPr>
        <w:t xml:space="preserve"> містить оптимальне співвідношення міркувань юриста-догматика, яка розібралась у тонкощах кримінально-правової оцінки протиправних посягань на банківську сферу, і результатів якісного кримінологічного дослідження.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sz w:val="28"/>
          <w:szCs w:val="28"/>
        </w:rPr>
        <w:t xml:space="preserve">При написанні роботи здобувачка опрацювала великий (всього 602 джерела) масив різноманітної (передусім юридичної та економічної) літератури. У своїх міркуваннях дисертантка постійно спирається на надбання кримінально-правової доктрини, матеріали законопроектів і супровідні матеріали до них, статистичні дані </w:t>
      </w:r>
      <w:r w:rsidRPr="00B46F60">
        <w:rPr>
          <w:rFonts w:ascii="Times New Roman" w:eastAsia="Calibri" w:hAnsi="Times New Roman" w:cs="Times New Roman"/>
          <w:sz w:val="28"/>
          <w:szCs w:val="28"/>
        </w:rPr>
        <w:lastRenderedPageBreak/>
        <w:t xml:space="preserve">(при цьому слушно відзначаючи, що останні далеко не завжди адекватно відображають наявний стан злочинності у банківській сфері та ефективність протидії цьому феномену за допомогою кримінально-правових засобів), рішення Конституційного Суду України, </w:t>
      </w:r>
      <w:r w:rsidRPr="00B46F60">
        <w:rPr>
          <w:rFonts w:ascii="Times New Roman" w:eastAsia="Calibri" w:hAnsi="Times New Roman" w:cs="Times New Roman"/>
          <w:bCs/>
          <w:sz w:val="28"/>
          <w:szCs w:val="28"/>
        </w:rPr>
        <w:t xml:space="preserve">постанови Пленуму Верховного Суду України з різних категорій справ, досвід зарубіжного законодавця, міжнародно-правові документи, які регулюють відповідні правовідносини та учасником яких є Україна.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Авторка цілком доречно (у зв’язку з чітко вираженою </w:t>
      </w:r>
      <w:proofErr w:type="spellStart"/>
      <w:r w:rsidRPr="00B46F60">
        <w:rPr>
          <w:rFonts w:ascii="Times New Roman" w:eastAsia="Calibri" w:hAnsi="Times New Roman" w:cs="Times New Roman"/>
          <w:bCs/>
          <w:sz w:val="28"/>
          <w:szCs w:val="28"/>
        </w:rPr>
        <w:t>бланкетністю</w:t>
      </w:r>
      <w:proofErr w:type="spellEnd"/>
      <w:r w:rsidRPr="00B46F60">
        <w:rPr>
          <w:rFonts w:ascii="Times New Roman" w:eastAsia="Calibri" w:hAnsi="Times New Roman" w:cs="Times New Roman"/>
          <w:bCs/>
          <w:sz w:val="28"/>
          <w:szCs w:val="28"/>
        </w:rPr>
        <w:t xml:space="preserve"> досліджуваних кримінально-правових заборон) занурилась у матерію регулятивного (фінансового, господарського, цивільного) законодавства, що дозволило їй не лише загалом переконливо обґрунтувати ініційовані нею новели щодо вдосконалення КК України, а й висунути хоч і такі, що певною мірою виходять за межі наукової спеціальності 12.00.08, проте слушні і виважені пропозиції із поліпшення банківського законодавства і практики його застосування. Як наслідок, дисертація виправдано носить міждисциплінарний характер, у зв’язку з чим може бути корисною і цікавою фахівцям не лише з кримінального права, а й з банківської справи.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З урахуванням особливостей обраної теми здобувачка вдало посилається і на такі специфічні джерела, як звіти Фонду гарантування вкладів фізичних осіб і звіти Державної служби фінансового моніторингу України, а також на судові рішення, постановлені не у кримінальних провадженнях і пов’язані із захистом прав та інтересів споживачів банківських послуг.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Судячи з Додатку З (с. 511–514), авторкою проводилось й оригінальне анкетування з проблематики протидії злочинності у сфері банківської діяльності в Україні; щоправда, його результати не знайшли відображення в основному тексті дисертації.</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
          <w:bCs/>
          <w:sz w:val="28"/>
          <w:szCs w:val="28"/>
        </w:rPr>
        <w:t xml:space="preserve">Практичне значення одержаних результатів </w:t>
      </w:r>
      <w:r w:rsidRPr="00B46F60">
        <w:rPr>
          <w:rFonts w:ascii="Times New Roman" w:eastAsia="Calibri" w:hAnsi="Times New Roman" w:cs="Times New Roman"/>
          <w:bCs/>
          <w:sz w:val="28"/>
          <w:szCs w:val="28"/>
        </w:rPr>
        <w:t xml:space="preserve">у науково-дослідній, законотворчій, правозастосовній діяльності та навчальному процесі достатньою мірою висвітлене в дисертації (с. 16–17), частково підтверджується актами впроваджень (с. 536–542) і сумнівів не викликає.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lastRenderedPageBreak/>
        <w:t xml:space="preserve">Головним чином практичне значення здобутих результатів полягає у можливості їхнього використання для вдосконалення КК України. Дисертанткою напрацьовано комплекс цікавих законодавчих пропозицій, які є логічним завершенням проведеного дослідження та спрямовані на поліпшення кримінально-правових норм про відповідальність за посягання на сферу банківської діяльності (Додаток И «Розділ </w:t>
      </w:r>
      <w:r w:rsidRPr="00B46F60">
        <w:rPr>
          <w:rFonts w:ascii="Times New Roman" w:eastAsia="Calibri" w:hAnsi="Times New Roman" w:cs="Times New Roman"/>
          <w:bCs/>
          <w:iCs/>
          <w:sz w:val="28"/>
          <w:szCs w:val="28"/>
          <w:lang w:val="en-US"/>
        </w:rPr>
        <w:t>VII</w:t>
      </w:r>
      <w:r w:rsidRPr="00B46F60">
        <w:rPr>
          <w:rFonts w:ascii="Times New Roman" w:eastAsia="Calibri" w:hAnsi="Times New Roman" w:cs="Times New Roman"/>
          <w:bCs/>
          <w:iCs/>
          <w:sz w:val="28"/>
          <w:szCs w:val="28"/>
        </w:rPr>
        <w:t>-1 Особливої частини КК України «Кримінальні правопорушення у сфері банківської діяльності»</w:t>
      </w:r>
      <w:r w:rsidRPr="00B46F60">
        <w:rPr>
          <w:rFonts w:ascii="Times New Roman" w:eastAsia="Calibri" w:hAnsi="Times New Roman" w:cs="Times New Roman"/>
          <w:bCs/>
          <w:sz w:val="28"/>
          <w:szCs w:val="28"/>
        </w:rPr>
        <w:t xml:space="preserve"> </w:t>
      </w:r>
      <w:r w:rsidRPr="00B46F60">
        <w:rPr>
          <w:rFonts w:ascii="Times New Roman" w:eastAsia="Calibri" w:hAnsi="Times New Roman" w:cs="Times New Roman"/>
          <w:bCs/>
          <w:iCs/>
          <w:sz w:val="28"/>
          <w:szCs w:val="28"/>
        </w:rPr>
        <w:t xml:space="preserve">(с. 515–524)). Незважаючи на те, що не всі пропозиції </w:t>
      </w:r>
      <w:proofErr w:type="spellStart"/>
      <w:r w:rsidRPr="00B46F60">
        <w:rPr>
          <w:rFonts w:ascii="Times New Roman" w:eastAsia="Calibri" w:hAnsi="Times New Roman" w:cs="Times New Roman"/>
          <w:bCs/>
          <w:iCs/>
          <w:sz w:val="28"/>
          <w:szCs w:val="28"/>
        </w:rPr>
        <w:t>А.М. К</w:t>
      </w:r>
      <w:proofErr w:type="spellEnd"/>
      <w:r w:rsidRPr="00B46F60">
        <w:rPr>
          <w:rFonts w:ascii="Times New Roman" w:eastAsia="Calibri" w:hAnsi="Times New Roman" w:cs="Times New Roman"/>
          <w:bCs/>
          <w:iCs/>
          <w:sz w:val="28"/>
          <w:szCs w:val="28"/>
        </w:rPr>
        <w:t xml:space="preserve">лочко сприймаються однозначно (про це йтиметься нижче), вони заслуговують на те, щоб стати об’єктом прискіпливого доктринального аналізу (зокрема, з боку членів робочої групи з підготовки проекту нового КК України) і часткового врахування у законотворчій діяльності. </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b/>
          <w:bCs/>
          <w:sz w:val="28"/>
          <w:szCs w:val="28"/>
        </w:rPr>
        <w:t>Наукова новизна</w:t>
      </w:r>
      <w:r w:rsidRPr="00B46F60">
        <w:rPr>
          <w:rFonts w:ascii="Times New Roman" w:eastAsia="Calibri" w:hAnsi="Times New Roman" w:cs="Times New Roman"/>
          <w:sz w:val="28"/>
          <w:szCs w:val="28"/>
        </w:rPr>
        <w:t xml:space="preserve"> рецензованого дисертаційного дослідження вбачається у розробленні оригінальної доктринальної концепції кримінально-правової та кримінологічної протидії злочинам у сфері банківської діяльності. У межах цієї концепції реалізовано відсутній у працях попередників наскрізний підхід до зазначених злочинів, який передбачив як виокремлення серед останніх </w:t>
      </w:r>
      <w:r w:rsidRPr="00B46F60">
        <w:rPr>
          <w:rFonts w:ascii="Times New Roman" w:eastAsia="Calibri" w:hAnsi="Times New Roman" w:cs="Times New Roman"/>
          <w:bCs/>
          <w:sz w:val="28"/>
          <w:szCs w:val="28"/>
        </w:rPr>
        <w:t>посягань на власність, встановлений порядок господарювання,</w:t>
      </w:r>
      <w:r w:rsidRPr="00B46F60">
        <w:rPr>
          <w:rFonts w:ascii="Times New Roman" w:eastAsia="Calibri" w:hAnsi="Times New Roman" w:cs="Times New Roman"/>
          <w:sz w:val="28"/>
          <w:szCs w:val="28"/>
        </w:rPr>
        <w:t xml:space="preserve"> </w:t>
      </w:r>
      <w:r w:rsidRPr="00B46F60">
        <w:rPr>
          <w:rFonts w:ascii="Times New Roman" w:eastAsia="Calibri" w:hAnsi="Times New Roman" w:cs="Times New Roman"/>
          <w:bCs/>
          <w:sz w:val="28"/>
          <w:szCs w:val="28"/>
        </w:rPr>
        <w:t xml:space="preserve">службової діяльності і використання електронних технологій, так і необхідність оптимізації кримінально-правової охорони прав та інтересів не </w:t>
      </w:r>
      <w:r w:rsidRPr="00B46F60">
        <w:rPr>
          <w:rFonts w:ascii="Times New Roman" w:eastAsia="Calibri" w:hAnsi="Times New Roman" w:cs="Times New Roman"/>
          <w:sz w:val="28"/>
          <w:szCs w:val="28"/>
        </w:rPr>
        <w:t xml:space="preserve">лише банківських установ, а й споживачів банківських послуг. </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bCs/>
          <w:sz w:val="28"/>
          <w:szCs w:val="28"/>
        </w:rPr>
        <w:t xml:space="preserve">А.М. </w:t>
      </w:r>
      <w:proofErr w:type="spellStart"/>
      <w:r w:rsidRPr="00B46F60">
        <w:rPr>
          <w:rFonts w:ascii="Times New Roman" w:eastAsia="Calibri" w:hAnsi="Times New Roman" w:cs="Times New Roman"/>
          <w:bCs/>
          <w:sz w:val="28"/>
          <w:szCs w:val="28"/>
        </w:rPr>
        <w:t>Клочко</w:t>
      </w:r>
      <w:proofErr w:type="spellEnd"/>
      <w:r w:rsidRPr="00B46F60">
        <w:rPr>
          <w:rFonts w:ascii="Times New Roman" w:eastAsia="Calibri" w:hAnsi="Times New Roman" w:cs="Times New Roman"/>
          <w:bCs/>
          <w:sz w:val="28"/>
          <w:szCs w:val="28"/>
        </w:rPr>
        <w:t xml:space="preserve"> справедливо наголошує на необхідності дотримання системного підходу, а саме визнання кримінально-правової охорони сфери банківської діяльності складовою єдиного правового механізму регулювання та охорони порядку суспільних відносин, що формуються у зазначеній сфері.</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sz w:val="28"/>
          <w:szCs w:val="28"/>
        </w:rPr>
        <w:t>Серед інших заслуговують на увагу висунуті на захист положення про:</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банківську діяльність як відносно самостійний об’єкт кримінально-правової охорони;</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поняття і коло злочинів у сфері банківської діяльності;</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lang w:val="ru-RU"/>
        </w:rPr>
      </w:pPr>
      <w:r w:rsidRPr="00B46F60">
        <w:rPr>
          <w:rFonts w:ascii="Times New Roman" w:eastAsia="Calibri" w:hAnsi="Times New Roman" w:cs="Times New Roman"/>
          <w:bCs/>
          <w:sz w:val="28"/>
          <w:szCs w:val="28"/>
        </w:rPr>
        <w:t xml:space="preserve">напрями трансформації відповідальності за вчинення кримінальних правопорушень у сфері банківської діяльності, визначені з урахуванням: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lang w:val="ru-RU"/>
        </w:rPr>
      </w:pPr>
      <w:r w:rsidRPr="00B46F60">
        <w:rPr>
          <w:rFonts w:ascii="Times New Roman" w:eastAsia="Calibri" w:hAnsi="Times New Roman" w:cs="Times New Roman"/>
          <w:bCs/>
          <w:sz w:val="28"/>
          <w:szCs w:val="28"/>
        </w:rPr>
        <w:lastRenderedPageBreak/>
        <w:t>а)</w:t>
      </w:r>
      <w:r w:rsidRPr="00B46F60">
        <w:rPr>
          <w:rFonts w:ascii="Times New Roman" w:eastAsia="Calibri" w:hAnsi="Times New Roman" w:cs="Times New Roman"/>
          <w:bCs/>
          <w:sz w:val="28"/>
          <w:szCs w:val="28"/>
          <w:lang w:val="en-US"/>
        </w:rPr>
        <w:t> </w:t>
      </w:r>
      <w:r w:rsidRPr="00B46F60">
        <w:rPr>
          <w:rFonts w:ascii="Times New Roman" w:eastAsia="Calibri" w:hAnsi="Times New Roman" w:cs="Times New Roman"/>
          <w:bCs/>
          <w:sz w:val="28"/>
          <w:szCs w:val="28"/>
        </w:rPr>
        <w:t xml:space="preserve">шляхів реформування банківської системи України;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lang w:val="ru-RU"/>
        </w:rPr>
      </w:pPr>
      <w:r w:rsidRPr="00B46F60">
        <w:rPr>
          <w:rFonts w:ascii="Times New Roman" w:eastAsia="Calibri" w:hAnsi="Times New Roman" w:cs="Times New Roman"/>
          <w:bCs/>
          <w:sz w:val="28"/>
          <w:szCs w:val="28"/>
        </w:rPr>
        <w:t xml:space="preserve">б) адаптації нормативно-правових актів у сфері банківського регулювання до вимог європейських стандартів у відповідній сфері;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в) </w:t>
      </w:r>
      <w:r w:rsidRPr="00B46F60">
        <w:rPr>
          <w:rFonts w:ascii="Times New Roman" w:eastAsia="Calibri" w:hAnsi="Times New Roman" w:cs="Times New Roman"/>
          <w:sz w:val="28"/>
          <w:szCs w:val="28"/>
        </w:rPr>
        <w:t>зарубіжного досвіду кримінально-правової охорони сфери банківської діяльності;</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комплекс: а) детермінантів вчинення злочинів у сфері банківської діяльності в Україні; б)</w:t>
      </w:r>
      <w:r w:rsidRPr="00B46F60">
        <w:rPr>
          <w:rFonts w:ascii="Times New Roman" w:eastAsia="Times New Roman" w:hAnsi="Times New Roman" w:cs="Times New Roman"/>
          <w:color w:val="000000"/>
          <w:sz w:val="28"/>
          <w:szCs w:val="28"/>
        </w:rPr>
        <w:t xml:space="preserve"> </w:t>
      </w:r>
      <w:r w:rsidRPr="00B46F60">
        <w:rPr>
          <w:rFonts w:ascii="Times New Roman" w:eastAsia="Calibri" w:hAnsi="Times New Roman" w:cs="Times New Roman"/>
          <w:bCs/>
          <w:sz w:val="28"/>
          <w:szCs w:val="28"/>
        </w:rPr>
        <w:t>заходів щодо запобігання вчиненню таких злочинів;</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типологію осіб, які вчиняють злочини у сфері банківської діяльності.</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lang w:val="ru-RU"/>
        </w:rPr>
      </w:pPr>
      <w:r w:rsidRPr="00B46F60">
        <w:rPr>
          <w:rFonts w:ascii="Times New Roman" w:eastAsia="Calibri" w:hAnsi="Times New Roman" w:cs="Times New Roman"/>
          <w:bCs/>
          <w:sz w:val="28"/>
          <w:szCs w:val="28"/>
        </w:rPr>
        <w:t xml:space="preserve">У роботі наводиться й чимало інших цікавих, нових та оригінальних положень, ідей, висновків. </w:t>
      </w:r>
    </w:p>
    <w:p w:rsidR="00B46F60" w:rsidRPr="00B46F60" w:rsidRDefault="00B46F60" w:rsidP="00B46F60">
      <w:pPr>
        <w:spacing w:after="0" w:line="360" w:lineRule="auto"/>
        <w:ind w:firstLine="567"/>
        <w:jc w:val="both"/>
        <w:rPr>
          <w:rFonts w:ascii="Times New Roman" w:eastAsia="Calibri" w:hAnsi="Times New Roman" w:cs="Times New Roman"/>
          <w:b/>
          <w:bCs/>
          <w:iCs/>
          <w:sz w:val="28"/>
          <w:szCs w:val="28"/>
          <w:lang w:val="ru-RU"/>
        </w:rPr>
      </w:pPr>
      <w:r w:rsidRPr="00B46F60">
        <w:rPr>
          <w:rFonts w:ascii="Times New Roman" w:eastAsia="Calibri" w:hAnsi="Times New Roman" w:cs="Times New Roman"/>
          <w:bCs/>
          <w:iCs/>
          <w:sz w:val="28"/>
          <w:szCs w:val="28"/>
        </w:rPr>
        <w:t xml:space="preserve">Водночас ознайомлення з дисертаційним дослідженням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дозволяє висловити </w:t>
      </w:r>
      <w:r w:rsidRPr="00B46F60">
        <w:rPr>
          <w:rFonts w:ascii="Times New Roman" w:eastAsia="Calibri" w:hAnsi="Times New Roman" w:cs="Times New Roman"/>
          <w:b/>
          <w:bCs/>
          <w:i/>
          <w:iCs/>
          <w:sz w:val="28"/>
          <w:szCs w:val="28"/>
        </w:rPr>
        <w:t>окремі побажання і критичні судження</w:t>
      </w:r>
      <w:r w:rsidRPr="00B46F60">
        <w:rPr>
          <w:rFonts w:ascii="Times New Roman" w:eastAsia="Calibri" w:hAnsi="Times New Roman" w:cs="Times New Roman"/>
          <w:b/>
          <w:bCs/>
          <w:iCs/>
          <w:sz w:val="28"/>
          <w:szCs w:val="28"/>
        </w:rPr>
        <w:t xml:space="preserve">.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1. Під кримінальними правопорушеннями у</w:t>
      </w:r>
      <w:bookmarkStart w:id="0" w:name="_Hlk44183929"/>
      <w:r w:rsidRPr="00B46F60">
        <w:rPr>
          <w:rFonts w:ascii="Times New Roman" w:eastAsia="Calibri" w:hAnsi="Times New Roman" w:cs="Times New Roman"/>
          <w:bCs/>
          <w:iCs/>
          <w:sz w:val="28"/>
          <w:szCs w:val="28"/>
        </w:rPr>
        <w:t xml:space="preserve"> сфері банківської діяльності у дисертації запропоновано розуміти «систему умисних злочинів, метою яких є заволодіння грошовими коштами банківських установ або споживачів банківських послуг у процесі здійснення банківських операцій чи з їх використанням, які вчиняються керівниками або іншими службовими особами банку, пов’язаними з банком особами, </w:t>
      </w:r>
      <w:proofErr w:type="spellStart"/>
      <w:r w:rsidRPr="00B46F60">
        <w:rPr>
          <w:rFonts w:ascii="Times New Roman" w:eastAsia="Calibri" w:hAnsi="Times New Roman" w:cs="Times New Roman"/>
          <w:bCs/>
          <w:iCs/>
          <w:sz w:val="28"/>
          <w:szCs w:val="28"/>
        </w:rPr>
        <w:t>особами</w:t>
      </w:r>
      <w:proofErr w:type="spellEnd"/>
      <w:r w:rsidRPr="00B46F60">
        <w:rPr>
          <w:rFonts w:ascii="Times New Roman" w:eastAsia="Calibri" w:hAnsi="Times New Roman" w:cs="Times New Roman"/>
          <w:bCs/>
          <w:iCs/>
          <w:sz w:val="28"/>
          <w:szCs w:val="28"/>
        </w:rPr>
        <w:t>, відповідальними за проведення банківських операцій, іншими працівниками банківських установ, а також особами, які не мають відношення до сфери банківської діяльності</w:t>
      </w:r>
      <w:bookmarkEnd w:id="0"/>
      <w:r w:rsidRPr="00B46F60">
        <w:rPr>
          <w:rFonts w:ascii="Times New Roman" w:eastAsia="Calibri" w:hAnsi="Times New Roman" w:cs="Times New Roman"/>
          <w:bCs/>
          <w:iCs/>
          <w:sz w:val="28"/>
          <w:szCs w:val="28"/>
        </w:rPr>
        <w:t xml:space="preserve">» (с. 13, 100, 195 та ін.). Наведене визначення та пов’язані з ним висловлювання пані </w:t>
      </w:r>
      <w:proofErr w:type="spellStart"/>
      <w:r w:rsidRPr="00B46F60">
        <w:rPr>
          <w:rFonts w:ascii="Times New Roman" w:eastAsia="Calibri" w:hAnsi="Times New Roman" w:cs="Times New Roman"/>
          <w:bCs/>
          <w:iCs/>
          <w:sz w:val="28"/>
          <w:szCs w:val="28"/>
        </w:rPr>
        <w:t>Альони</w:t>
      </w:r>
      <w:proofErr w:type="spellEnd"/>
      <w:r w:rsidRPr="00B46F60">
        <w:rPr>
          <w:rFonts w:ascii="Times New Roman" w:eastAsia="Calibri" w:hAnsi="Times New Roman" w:cs="Times New Roman"/>
          <w:bCs/>
          <w:iCs/>
          <w:sz w:val="28"/>
          <w:szCs w:val="28"/>
        </w:rPr>
        <w:t xml:space="preserve"> спонукають вступити в дискусію.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По-перше, із закріпленого в ст. 12 чинного КК України поділу кримінальних правопорушень на злочини і кримінальні проступки випливає, що різниця між двома вказаними видами кримінальних правопорушень вже не може не братись до уваги (зокрема, і при формулюванні кримінально-правових понять). З огляду на те, що двочленна класифікація кримінальних правопорушень врешті-решт стала в Україні правовою реальністю, критично оцінюю ту обставину, що при визначенні оптимального, на її переконання, кола кримінальних правопорушень у сфері </w:t>
      </w:r>
      <w:r w:rsidRPr="00B46F60">
        <w:rPr>
          <w:rFonts w:ascii="Times New Roman" w:eastAsia="Calibri" w:hAnsi="Times New Roman" w:cs="Times New Roman"/>
          <w:bCs/>
          <w:sz w:val="28"/>
          <w:szCs w:val="28"/>
        </w:rPr>
        <w:lastRenderedPageBreak/>
        <w:t xml:space="preserve">банківської діяльності здобувачка не обґрунтувала положення про те, які з цих правопорушень мають визнаватись кримінальними проступками, а які </w:t>
      </w:r>
      <w:r w:rsidRPr="00B46F60">
        <w:rPr>
          <w:rFonts w:ascii="Times New Roman" w:eastAsia="Calibri" w:hAnsi="Times New Roman" w:cs="Times New Roman"/>
          <w:bCs/>
          <w:iCs/>
          <w:sz w:val="28"/>
          <w:szCs w:val="28"/>
        </w:rPr>
        <w:t xml:space="preserve">– </w:t>
      </w:r>
      <w:r w:rsidRPr="00B46F60">
        <w:rPr>
          <w:rFonts w:ascii="Times New Roman" w:eastAsia="Calibri" w:hAnsi="Times New Roman" w:cs="Times New Roman"/>
          <w:bCs/>
          <w:sz w:val="28"/>
          <w:szCs w:val="28"/>
        </w:rPr>
        <w:t xml:space="preserve">злочинами.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sz w:val="28"/>
          <w:szCs w:val="28"/>
        </w:rPr>
        <w:t xml:space="preserve">По-друге, однією з істотних ознак кримінальних правопорушень у сфері банківської діяльності А.М. </w:t>
      </w:r>
      <w:proofErr w:type="spellStart"/>
      <w:r w:rsidRPr="00B46F60">
        <w:rPr>
          <w:rFonts w:ascii="Times New Roman" w:eastAsia="Calibri" w:hAnsi="Times New Roman" w:cs="Times New Roman"/>
          <w:bCs/>
          <w:sz w:val="28"/>
          <w:szCs w:val="28"/>
        </w:rPr>
        <w:t>Клочко</w:t>
      </w:r>
      <w:proofErr w:type="spellEnd"/>
      <w:r w:rsidRPr="00B46F60">
        <w:rPr>
          <w:rFonts w:ascii="Times New Roman" w:eastAsia="Calibri" w:hAnsi="Times New Roman" w:cs="Times New Roman"/>
          <w:bCs/>
          <w:sz w:val="28"/>
          <w:szCs w:val="28"/>
        </w:rPr>
        <w:t xml:space="preserve"> вважає обумовленість специфікою банківської діяльності (с.</w:t>
      </w:r>
      <w:r w:rsidRPr="00B46F60">
        <w:rPr>
          <w:rFonts w:ascii="Times New Roman" w:eastAsia="Calibri" w:hAnsi="Times New Roman" w:cs="Times New Roman"/>
          <w:bCs/>
          <w:sz w:val="28"/>
          <w:szCs w:val="28"/>
          <w:lang w:val="ru-RU"/>
        </w:rPr>
        <w:t> </w:t>
      </w:r>
      <w:r w:rsidRPr="00B46F60">
        <w:rPr>
          <w:rFonts w:ascii="Times New Roman" w:eastAsia="Calibri" w:hAnsi="Times New Roman" w:cs="Times New Roman"/>
          <w:bCs/>
          <w:sz w:val="28"/>
          <w:szCs w:val="28"/>
        </w:rPr>
        <w:t xml:space="preserve">113, 342). Постає питання, чи узгоджується з цією думкою теза про належність до числа суб’єктів відповідних посягань </w:t>
      </w:r>
      <w:r w:rsidRPr="00B46F60">
        <w:rPr>
          <w:rFonts w:ascii="Times New Roman" w:eastAsia="Calibri" w:hAnsi="Times New Roman" w:cs="Times New Roman"/>
          <w:bCs/>
          <w:iCs/>
          <w:sz w:val="28"/>
          <w:szCs w:val="28"/>
        </w:rPr>
        <w:t xml:space="preserve">осіб, «які не мають відношення до сфери банківської діяльності». До слова фактично відкритий перелік цих суб’єктів, наведений в аналізованому визначенні, суперечить такій вимозі </w:t>
      </w:r>
      <w:proofErr w:type="spellStart"/>
      <w:r w:rsidRPr="00B46F60">
        <w:rPr>
          <w:rFonts w:ascii="Times New Roman" w:eastAsia="Calibri" w:hAnsi="Times New Roman" w:cs="Times New Roman"/>
          <w:bCs/>
          <w:iCs/>
          <w:sz w:val="28"/>
          <w:szCs w:val="28"/>
        </w:rPr>
        <w:t>дефінування</w:t>
      </w:r>
      <w:proofErr w:type="spellEnd"/>
      <w:r w:rsidRPr="00B46F60">
        <w:rPr>
          <w:rFonts w:ascii="Times New Roman" w:eastAsia="Calibri" w:hAnsi="Times New Roman" w:cs="Times New Roman"/>
          <w:bCs/>
          <w:iCs/>
          <w:sz w:val="28"/>
          <w:szCs w:val="28"/>
        </w:rPr>
        <w:t xml:space="preserve"> понять, як раціональна (оптимальна) стислість.</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По-третє, навряд чи виправдано обмежувати коло кримінальних правопорушень у сфері банківської діяльності лише умисними деліктами, бо у зазначеній сфері цілком можуть мати місце і випадки службової недбалості службових осіб банківських установ. Так, у судовій практиці траплялись випадки засудження службових осіб банків, необережна поведінка призвела до неплатоспроможності банків, за ст. 367 КК України.</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По-четверте, мета «заволодіння грошовими коштами банківських установ або споживачів банківських послуг» як ще одна </w:t>
      </w:r>
      <w:proofErr w:type="spellStart"/>
      <w:r w:rsidRPr="00B46F60">
        <w:rPr>
          <w:rFonts w:ascii="Times New Roman" w:eastAsia="Calibri" w:hAnsi="Times New Roman" w:cs="Times New Roman"/>
          <w:bCs/>
          <w:iCs/>
          <w:sz w:val="28"/>
          <w:szCs w:val="28"/>
        </w:rPr>
        <w:t>виокремлена</w:t>
      </w:r>
      <w:proofErr w:type="spellEnd"/>
      <w:r w:rsidRPr="00B46F60">
        <w:rPr>
          <w:rFonts w:ascii="Times New Roman" w:eastAsia="Calibri" w:hAnsi="Times New Roman" w:cs="Times New Roman"/>
          <w:bCs/>
          <w:iCs/>
          <w:sz w:val="28"/>
          <w:szCs w:val="28"/>
        </w:rPr>
        <w:t xml:space="preserve"> дисертанткою обов’язкова (істотна) ознака злочинів у сфері банківської діяльності явно не притаманна усім тим деліктам, які в рецензованій праці запропоновано відносити до згаданих злочинів (с. 86, 114, 195–196, 393–394, 400 та ін.). Наприклад, яким чином, незаконне збирання відомостей, що містять комерційну таємницю, або розголошення комерційної таємниці пов’язані із заволодінням вказаними грошовими коштами?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Незважаючи на умовність класифікацій злочинів у сфері господарської діяльності, складно погодитись із віднесенням до злочинів у сфері банківської діяльності деліктів, передбачених статтями 219, 222, 231 та 232 КК України (лише частково погоджуюсь із віднесенням до згаданої групи злочинів посягань, передбачених статтями 200 і 209 КК України). Видається, що беззастережно включивши ці діяння до розглядуваної групи деліктів, пані </w:t>
      </w:r>
      <w:proofErr w:type="spellStart"/>
      <w:r w:rsidRPr="00B46F60">
        <w:rPr>
          <w:rFonts w:ascii="Times New Roman" w:eastAsia="Calibri" w:hAnsi="Times New Roman" w:cs="Times New Roman"/>
          <w:bCs/>
          <w:iCs/>
          <w:sz w:val="28"/>
          <w:szCs w:val="28"/>
        </w:rPr>
        <w:t>Альона</w:t>
      </w:r>
      <w:proofErr w:type="spellEnd"/>
      <w:r w:rsidRPr="00B46F60">
        <w:rPr>
          <w:rFonts w:ascii="Times New Roman" w:eastAsia="Calibri" w:hAnsi="Times New Roman" w:cs="Times New Roman"/>
          <w:bCs/>
          <w:iCs/>
          <w:sz w:val="28"/>
          <w:szCs w:val="28"/>
        </w:rPr>
        <w:t xml:space="preserve"> не враховувала запропоноване нею ж визначення поняття кримінальних правопорушень у сфері </w:t>
      </w:r>
      <w:r w:rsidRPr="00B46F60">
        <w:rPr>
          <w:rFonts w:ascii="Times New Roman" w:eastAsia="Calibri" w:hAnsi="Times New Roman" w:cs="Times New Roman"/>
          <w:bCs/>
          <w:iCs/>
          <w:sz w:val="28"/>
          <w:szCs w:val="28"/>
        </w:rPr>
        <w:lastRenderedPageBreak/>
        <w:t xml:space="preserve">банківської діяльності. Наприклад, складно зрозуміти, на якій підставі такі діяння, як доведення до банкрутства, скажімо, хімічного підприємства (ст. 219 КК України), або надання завідомо неправдивої інформації органу місцевого самоврядування з метою одержання субсидії (ст. 222 КК України) можуть бути визнані злочинами у сфері банківської діяльності.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Недотримання логіко-методологічної процедури визначення понять, виробленої філософією, логікою та методологією науки, призвело до того, що запропоноване у дисертації визначення поняття кримінальних правопорушень у сфері банківської діяльності не відповідає чи не головному своєму призначенню – чітко не окреслює ті відмітні, істотні ознаки, які дозволяють виокремити такі делікти серед інших груп кримінально-протиправних посягань. Між тим, необхідність виокремлення саме таких істотних ознак неодноразово декларувалась авторкою (с. 34–35, 97). Таким чином, наукове визначення поняття кримінальних правопорушень у сфері банківської діяльності потребує доопрацювання: воно має по-можливості чітко фіксувати певний об’єкт кримінально-правової охорони і, вочевидь, базуватись на класифікації об’єктів кримінального правопорушення «за горизонталлю».</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2. Однією з ключових ідей дисертаційного дослідження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є пропозиція виокремити в Особливій частині КК України самостійний розділ «Кримінальні правопорушення у сфері службової діяльності» (с. 186, 394, 400 та ін.). Вище я спробував показати, що запропонована здобувачкою змістовна наповнюваність групи кримінальних правопорушень у сфері банківської діяльності не є безспірною або принаймні такою, що змушує робити серйозні застереження. І вже ця прагматична обставина дозволяє поставити під сумнів перспективність і практичну реалізованість згаданої ідеї здобувачки.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На думку дисертантки, створення самостійного інституту кримінально-правової охорони сфери банківської діяльності в Україні у формі розділу Особливої частини КК дозволить більш точно відобразити особливості видового об’єкта суспільно небезпечних діянь цієї групи, сприяти з’ясуванню їх специфіки та ступеня суспільної небезпеки, правильній кваліфікації та індивідуалізації </w:t>
      </w:r>
      <w:r w:rsidRPr="00B46F60">
        <w:rPr>
          <w:rFonts w:ascii="Times New Roman" w:eastAsia="Calibri" w:hAnsi="Times New Roman" w:cs="Times New Roman"/>
          <w:bCs/>
          <w:iCs/>
          <w:sz w:val="28"/>
          <w:szCs w:val="28"/>
        </w:rPr>
        <w:lastRenderedPageBreak/>
        <w:t>покарання (с. 270). Я натомість зовсім не впевнений у тому, що виділення в окремий розділ КК України норм про кримінальні правопорушення у сфері банківської діяльності (як і будь-яких інших кримінальних правопорушень) допоможе змінити на краще ситуацію із застосуванням відповідних заборон.</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Крім іншого, сприйняття пропозиції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яка фактично зводиться до необхідності виділення окремої групи кримінальних правопорушень за їхнім видовим об’єктом, свідчитиме про необхідність зміни структури всієї системи Особливої частини КК України, яка нині побудована за критерієм саме родового, а не видового об’єкта злочину.</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Отже, ідея виділення кримінальних правопорушень у сфері банківської діяльності, представляючи, поза всяким сумнівом, значний науковий інтерес, навряд чи бути рекомендована як пропозиція </w:t>
      </w:r>
      <w:r w:rsidRPr="00B46F60">
        <w:rPr>
          <w:rFonts w:ascii="Times New Roman" w:eastAsia="Calibri" w:hAnsi="Times New Roman" w:cs="Times New Roman"/>
          <w:bCs/>
          <w:iCs/>
          <w:sz w:val="28"/>
          <w:szCs w:val="28"/>
          <w:lang w:val="en-US"/>
        </w:rPr>
        <w:t>de</w:t>
      </w:r>
      <w:r w:rsidRPr="00B46F60">
        <w:rPr>
          <w:rFonts w:ascii="Times New Roman" w:eastAsia="Calibri" w:hAnsi="Times New Roman" w:cs="Times New Roman"/>
          <w:bCs/>
          <w:iCs/>
          <w:sz w:val="28"/>
          <w:szCs w:val="28"/>
        </w:rPr>
        <w:t xml:space="preserve"> </w:t>
      </w:r>
      <w:proofErr w:type="spellStart"/>
      <w:r w:rsidRPr="00B46F60">
        <w:rPr>
          <w:rFonts w:ascii="Times New Roman" w:eastAsia="Calibri" w:hAnsi="Times New Roman" w:cs="Times New Roman"/>
          <w:bCs/>
          <w:iCs/>
          <w:sz w:val="28"/>
          <w:szCs w:val="28"/>
          <w:lang w:val="en-US"/>
        </w:rPr>
        <w:t>lege</w:t>
      </w:r>
      <w:proofErr w:type="spellEnd"/>
      <w:r w:rsidRPr="00B46F60">
        <w:rPr>
          <w:rFonts w:ascii="Times New Roman" w:eastAsia="Calibri" w:hAnsi="Times New Roman" w:cs="Times New Roman"/>
          <w:bCs/>
          <w:iCs/>
          <w:sz w:val="28"/>
          <w:szCs w:val="28"/>
        </w:rPr>
        <w:t xml:space="preserve"> </w:t>
      </w:r>
      <w:proofErr w:type="spellStart"/>
      <w:r w:rsidRPr="00B46F60">
        <w:rPr>
          <w:rFonts w:ascii="Times New Roman" w:eastAsia="Calibri" w:hAnsi="Times New Roman" w:cs="Times New Roman"/>
          <w:bCs/>
          <w:iCs/>
          <w:sz w:val="28"/>
          <w:szCs w:val="28"/>
          <w:lang w:val="en-US"/>
        </w:rPr>
        <w:t>ferenda</w:t>
      </w:r>
      <w:proofErr w:type="spellEnd"/>
      <w:r w:rsidRPr="00B46F60">
        <w:rPr>
          <w:rFonts w:ascii="Times New Roman" w:eastAsia="Calibri" w:hAnsi="Times New Roman" w:cs="Times New Roman"/>
          <w:bCs/>
          <w:iCs/>
          <w:sz w:val="28"/>
          <w:szCs w:val="28"/>
        </w:rPr>
        <w:t xml:space="preserve">. Тому невипадково, що, спираючись на зазначені вище і деякі інші аргументи, мій учень Є.М. </w:t>
      </w:r>
      <w:proofErr w:type="spellStart"/>
      <w:r w:rsidRPr="00B46F60">
        <w:rPr>
          <w:rFonts w:ascii="Times New Roman" w:eastAsia="Calibri" w:hAnsi="Times New Roman" w:cs="Times New Roman"/>
          <w:bCs/>
          <w:iCs/>
          <w:sz w:val="28"/>
          <w:szCs w:val="28"/>
        </w:rPr>
        <w:t>Васілін</w:t>
      </w:r>
      <w:proofErr w:type="spellEnd"/>
      <w:r w:rsidRPr="00B46F60">
        <w:rPr>
          <w:rFonts w:ascii="Times New Roman" w:eastAsia="Calibri" w:hAnsi="Times New Roman" w:cs="Times New Roman"/>
          <w:bCs/>
          <w:iCs/>
          <w:sz w:val="28"/>
          <w:szCs w:val="28"/>
        </w:rPr>
        <w:t xml:space="preserve"> наполягав на недоцільності законодавчого виокремлення групи злочинів у сфері банківської діяльності і водночас висловився за уточнення назви розділу VІІ Особливої частини КК України (викладення її у такій редакції: «Злочини проти господарської та фінансової діяльності»)</w:t>
      </w:r>
      <w:r w:rsidRPr="00B46F60">
        <w:rPr>
          <w:rFonts w:ascii="Times New Roman" w:eastAsia="Calibri" w:hAnsi="Times New Roman" w:cs="Times New Roman"/>
          <w:bCs/>
          <w:iCs/>
          <w:sz w:val="28"/>
          <w:szCs w:val="28"/>
          <w:vertAlign w:val="superscript"/>
        </w:rPr>
        <w:footnoteReference w:id="3"/>
      </w:r>
      <w:r w:rsidRPr="00B46F60">
        <w:rPr>
          <w:rFonts w:ascii="Times New Roman" w:eastAsia="Calibri" w:hAnsi="Times New Roman" w:cs="Times New Roman"/>
          <w:bCs/>
          <w:iCs/>
          <w:sz w:val="28"/>
          <w:szCs w:val="28"/>
        </w:rPr>
        <w:t>.</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Теза про принципову відмінність суспільних відносин у сфері банківської діяльності від господарських відносин, яка обстоюється дисертанткою та яку, серед іншого, покладено в основу ідеї виокремлення в Особливій частині КК України розділу, присвяченого кримінальним правопорушенням у сфері банківської діяльності, спростовується виробленою сучасною господарсько-правовою доктриною концепцією виокремлення права неспроможності банків у самостійну підгалузь господарського права, рівну до підгалузевого рівня права звичайного банкрутства</w:t>
      </w:r>
      <w:r w:rsidRPr="00B46F60">
        <w:rPr>
          <w:rFonts w:ascii="Times New Roman" w:eastAsia="Calibri" w:hAnsi="Times New Roman" w:cs="Times New Roman"/>
          <w:bCs/>
          <w:iCs/>
          <w:sz w:val="28"/>
          <w:szCs w:val="28"/>
          <w:vertAlign w:val="superscript"/>
        </w:rPr>
        <w:footnoteReference w:id="4"/>
      </w:r>
      <w:r w:rsidRPr="00B46F60">
        <w:rPr>
          <w:rFonts w:ascii="Times New Roman" w:eastAsia="Calibri" w:hAnsi="Times New Roman" w:cs="Times New Roman"/>
          <w:bCs/>
          <w:iCs/>
          <w:sz w:val="28"/>
          <w:szCs w:val="28"/>
        </w:rPr>
        <w:t>.</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3. Чи не основною в системі кримінально-правових засобів забезпечення належного функціонування банківської сфери є, на моє переконання, кримінально-</w:t>
      </w:r>
      <w:r w:rsidRPr="00B46F60">
        <w:rPr>
          <w:rFonts w:ascii="Times New Roman" w:eastAsia="Calibri" w:hAnsi="Times New Roman" w:cs="Times New Roman"/>
          <w:bCs/>
          <w:iCs/>
          <w:sz w:val="28"/>
          <w:szCs w:val="28"/>
        </w:rPr>
        <w:lastRenderedPageBreak/>
        <w:t>правова заборона, присвячена доведенню банку до неплатоспроможності. На жаль, дисертантка у своєму модельному розділі «Кримінальні правопорушення у сфері банківської діяльності», який мав би стати квінтесенцією проведеного дослідження, відтворює чинну редакції цієї заборони з усіма її вадами – при тому, що в основному тексті дисертації висловлюється низка слушних міркувань щодо напрямів удосконалення статті КК України «Доведення банку до неплатоспроможності».</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Так, справедливо наголошуючи на необхідності максимального законодавчого уточнення суб’єктного складу злочинів у сфері банківської діяльності в Україні, включаючи доведення банку до неплатоспроможності, і виступаючи проти «легалізованого свавілля» НБУ при визначенні кола «пов’язаних з банком осіб» (с. 171, 200), здобувачка у примітці проектованої нею статті КК України «Доведення банку до неплатоспроможності» висловлюється за збереження існуючого стану речей: «Термін «пов’язана з банком особа» вживається у значенні, визначеному Законом України «Про банки і банківську діяльність» (с. 516). Тим самим консервується наявна аномальна для кримінального права ситуація, коли НБУ завдяки своєму праву визначати на власний розсуд</w:t>
      </w:r>
      <w:r w:rsidRPr="00B46F60">
        <w:rPr>
          <w:rFonts w:ascii="Times New Roman" w:eastAsia="Calibri" w:hAnsi="Times New Roman" w:cs="Times New Roman"/>
          <w:bCs/>
          <w:i/>
          <w:iCs/>
          <w:sz w:val="28"/>
          <w:szCs w:val="28"/>
        </w:rPr>
        <w:t xml:space="preserve"> </w:t>
      </w:r>
      <w:r w:rsidRPr="00B46F60">
        <w:rPr>
          <w:rFonts w:ascii="Times New Roman" w:eastAsia="Calibri" w:hAnsi="Times New Roman" w:cs="Times New Roman"/>
          <w:bCs/>
          <w:iCs/>
          <w:sz w:val="28"/>
          <w:szCs w:val="28"/>
        </w:rPr>
        <w:t xml:space="preserve">коло осіб, пов’язаних з банком, фактично наділяється законодавцем наданими лише йому повноваженнями (п. 22 ч. 1 </w:t>
      </w:r>
      <w:proofErr w:type="spellStart"/>
      <w:r w:rsidRPr="00B46F60">
        <w:rPr>
          <w:rFonts w:ascii="Times New Roman" w:eastAsia="Calibri" w:hAnsi="Times New Roman" w:cs="Times New Roman"/>
          <w:bCs/>
          <w:iCs/>
          <w:sz w:val="28"/>
          <w:szCs w:val="28"/>
        </w:rPr>
        <w:t>ст</w:t>
      </w:r>
      <w:proofErr w:type="spellEnd"/>
      <w:r w:rsidRPr="00B46F60">
        <w:rPr>
          <w:rFonts w:ascii="Times New Roman" w:eastAsia="Calibri" w:hAnsi="Times New Roman" w:cs="Times New Roman"/>
          <w:bCs/>
          <w:iCs/>
          <w:sz w:val="28"/>
          <w:szCs w:val="28"/>
        </w:rPr>
        <w:t xml:space="preserve">. 92 Конституції України) змінювати обсяг криміналізації поведінки особи. І це вже на кажучи про пов’язану з дотриманням вимог законодавчої техніки пропозицію (Є.М. </w:t>
      </w:r>
      <w:proofErr w:type="spellStart"/>
      <w:r w:rsidRPr="00B46F60">
        <w:rPr>
          <w:rFonts w:ascii="Times New Roman" w:eastAsia="Calibri" w:hAnsi="Times New Roman" w:cs="Times New Roman"/>
          <w:bCs/>
          <w:iCs/>
          <w:sz w:val="28"/>
          <w:szCs w:val="28"/>
        </w:rPr>
        <w:t>Васілін</w:t>
      </w:r>
      <w:proofErr w:type="spellEnd"/>
      <w:r w:rsidRPr="00B46F60">
        <w:rPr>
          <w:rFonts w:ascii="Times New Roman" w:eastAsia="Calibri" w:hAnsi="Times New Roman" w:cs="Times New Roman"/>
          <w:bCs/>
          <w:iCs/>
          <w:sz w:val="28"/>
          <w:szCs w:val="28"/>
        </w:rPr>
        <w:t xml:space="preserve">, О.О. </w:t>
      </w:r>
      <w:proofErr w:type="spellStart"/>
      <w:r w:rsidRPr="00B46F60">
        <w:rPr>
          <w:rFonts w:ascii="Times New Roman" w:eastAsia="Calibri" w:hAnsi="Times New Roman" w:cs="Times New Roman"/>
          <w:bCs/>
          <w:iCs/>
          <w:sz w:val="28"/>
          <w:szCs w:val="28"/>
        </w:rPr>
        <w:t>Дудоров</w:t>
      </w:r>
      <w:proofErr w:type="spellEnd"/>
      <w:r w:rsidRPr="00B46F60">
        <w:rPr>
          <w:rFonts w:ascii="Times New Roman" w:eastAsia="Calibri" w:hAnsi="Times New Roman" w:cs="Times New Roman"/>
          <w:bCs/>
          <w:iCs/>
          <w:sz w:val="28"/>
          <w:szCs w:val="28"/>
        </w:rPr>
        <w:t xml:space="preserve">, Р.О. Мовчан) видалити передбачену в ч. 2 примітки ст. 218-1 КК України відсилку до конкретного нормативно-правового акту (Закону «Про банки і банківську діяльність») з огляду на те, що така форма </w:t>
      </w:r>
      <w:proofErr w:type="spellStart"/>
      <w:r w:rsidRPr="00B46F60">
        <w:rPr>
          <w:rFonts w:ascii="Times New Roman" w:eastAsia="Calibri" w:hAnsi="Times New Roman" w:cs="Times New Roman"/>
          <w:bCs/>
          <w:iCs/>
          <w:sz w:val="28"/>
          <w:szCs w:val="28"/>
        </w:rPr>
        <w:t>бланкетного</w:t>
      </w:r>
      <w:proofErr w:type="spellEnd"/>
      <w:r w:rsidRPr="00B46F60">
        <w:rPr>
          <w:rFonts w:ascii="Times New Roman" w:eastAsia="Calibri" w:hAnsi="Times New Roman" w:cs="Times New Roman"/>
          <w:bCs/>
          <w:iCs/>
          <w:sz w:val="28"/>
          <w:szCs w:val="28"/>
        </w:rPr>
        <w:t xml:space="preserve"> способу викладення нормативного матеріалу може бути виправданою лише за умови стабільності, нехарактерної для вітчизняного (у цьому разі передусім банківського) законодавства.</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Неодноразово погоджуючись із висловленими в юридичній літературі думками про доцільність конструювання складу злочину, передбаченого ст. 218-1 КК України, як формального і нормативного врахування тієї обставини, що шкода кредиторам, заподіяна в результаті доведення банку до неплатоспроможності, може </w:t>
      </w:r>
      <w:r w:rsidRPr="00B46F60">
        <w:rPr>
          <w:rFonts w:ascii="Times New Roman" w:eastAsia="Calibri" w:hAnsi="Times New Roman" w:cs="Times New Roman"/>
          <w:bCs/>
          <w:iCs/>
          <w:sz w:val="28"/>
          <w:szCs w:val="28"/>
        </w:rPr>
        <w:lastRenderedPageBreak/>
        <w:t xml:space="preserve">бути сумарною (с. 145, 152, 153, 340 та ін.), дисертантка при формулюванні авторської редакції відповідної кримінально-правової заборони не бере до уваги ці теоретичні здобутки.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Підтримана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доктринальна пропозиція щодо встановлення кримінальної відповідальності за необережне доведення до банкрутства (с. 164, 340) трансформувалась у доволі спірну ідею доповнення КК України статтею «Службова недбалість у сфері банківської діяльності» (с. 521), яка (за винятком вказівки на спеціального суб’єкта </w:t>
      </w:r>
      <w:r w:rsidRPr="00B46F60">
        <w:rPr>
          <w:rFonts w:ascii="Times New Roman" w:eastAsia="Calibri" w:hAnsi="Times New Roman" w:cs="Times New Roman"/>
          <w:b/>
          <w:bCs/>
          <w:iCs/>
          <w:sz w:val="28"/>
          <w:szCs w:val="28"/>
        </w:rPr>
        <w:t xml:space="preserve">– </w:t>
      </w:r>
      <w:r w:rsidRPr="00B46F60">
        <w:rPr>
          <w:rFonts w:ascii="Times New Roman" w:eastAsia="Calibri" w:hAnsi="Times New Roman" w:cs="Times New Roman"/>
          <w:bCs/>
          <w:iCs/>
          <w:sz w:val="28"/>
          <w:szCs w:val="28"/>
        </w:rPr>
        <w:t xml:space="preserve">службову особу банку) механічно відтворює текст загальної кримінально-правової норми </w:t>
      </w:r>
      <w:r w:rsidRPr="00B46F60">
        <w:rPr>
          <w:rFonts w:ascii="Times New Roman" w:eastAsia="Calibri" w:hAnsi="Times New Roman" w:cs="Times New Roman"/>
          <w:b/>
          <w:bCs/>
          <w:iCs/>
          <w:sz w:val="28"/>
          <w:szCs w:val="28"/>
        </w:rPr>
        <w:t>(</w:t>
      </w:r>
      <w:proofErr w:type="spellStart"/>
      <w:r w:rsidRPr="00B46F60">
        <w:rPr>
          <w:rFonts w:ascii="Times New Roman" w:eastAsia="Calibri" w:hAnsi="Times New Roman" w:cs="Times New Roman"/>
          <w:bCs/>
          <w:iCs/>
          <w:sz w:val="28"/>
          <w:szCs w:val="28"/>
        </w:rPr>
        <w:t>ст.</w:t>
      </w:r>
      <w:proofErr w:type="spellEnd"/>
      <w:r w:rsidRPr="00B46F60">
        <w:rPr>
          <w:rFonts w:ascii="Times New Roman" w:eastAsia="Calibri" w:hAnsi="Times New Roman" w:cs="Times New Roman"/>
          <w:bCs/>
          <w:iCs/>
          <w:sz w:val="28"/>
          <w:szCs w:val="28"/>
        </w:rPr>
        <w:t> 367 КК України «Службова недбалість»). При цьому проігноровано те, що проблему криміналізації необережного доведення банку до неплатоспроможності як окремого господарського злочину в юридичній літературі вже всебічно розглянуто з отриманням аргументованих відповідей на низку взаємопов’язаних питань, а саме: чи потрібна окрема кримінально-правова норма про необережне доведення банку до неплатоспроможності; якою має бути назва відповідної статті; який спосіб повинен бути використаний при конструюванні відповідної кримінально-правової заборони – абстрактний чи казуальний; відповідний склад злочину має бути сконструйований як формальний або матеріальний; які суб’єкти мають нести відповідальність за відповідні діяння</w:t>
      </w:r>
      <w:r w:rsidRPr="00B46F60">
        <w:rPr>
          <w:rFonts w:ascii="Times New Roman" w:eastAsia="Calibri" w:hAnsi="Times New Roman" w:cs="Times New Roman"/>
          <w:bCs/>
          <w:iCs/>
          <w:sz w:val="28"/>
          <w:szCs w:val="28"/>
          <w:vertAlign w:val="superscript"/>
        </w:rPr>
        <w:footnoteReference w:id="5"/>
      </w:r>
      <w:r w:rsidRPr="00B46F60">
        <w:rPr>
          <w:rFonts w:ascii="Times New Roman" w:eastAsia="Calibri" w:hAnsi="Times New Roman" w:cs="Times New Roman"/>
          <w:bCs/>
          <w:iCs/>
          <w:sz w:val="28"/>
          <w:szCs w:val="28"/>
        </w:rPr>
        <w:t>.</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lang w:val="ru-RU"/>
        </w:rPr>
      </w:pPr>
      <w:r w:rsidRPr="00B46F60">
        <w:rPr>
          <w:rFonts w:ascii="Times New Roman" w:eastAsia="Calibri" w:hAnsi="Times New Roman" w:cs="Times New Roman"/>
          <w:bCs/>
          <w:iCs/>
          <w:sz w:val="28"/>
          <w:szCs w:val="28"/>
        </w:rPr>
        <w:t xml:space="preserve">До слова згадана непослідовність характерна і для деяких інших пропозицій </w:t>
      </w:r>
      <w:r w:rsidRPr="00B46F60">
        <w:rPr>
          <w:rFonts w:ascii="Times New Roman" w:eastAsia="Calibri" w:hAnsi="Times New Roman" w:cs="Times New Roman"/>
          <w:bCs/>
          <w:iCs/>
          <w:sz w:val="28"/>
          <w:szCs w:val="28"/>
          <w:lang w:val="en-US"/>
        </w:rPr>
        <w:t>de</w:t>
      </w:r>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en-US"/>
        </w:rPr>
        <w:t>lege</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en-US"/>
        </w:rPr>
        <w:t>ferenda</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наведених</w:t>
      </w:r>
      <w:proofErr w:type="spellEnd"/>
      <w:r w:rsidRPr="00B46F60">
        <w:rPr>
          <w:rFonts w:ascii="Times New Roman" w:eastAsia="Calibri" w:hAnsi="Times New Roman" w:cs="Times New Roman"/>
          <w:bCs/>
          <w:iCs/>
          <w:sz w:val="28"/>
          <w:szCs w:val="28"/>
          <w:lang w:val="ru-RU"/>
        </w:rPr>
        <w:t xml:space="preserve"> у </w:t>
      </w:r>
      <w:proofErr w:type="spellStart"/>
      <w:r w:rsidRPr="00B46F60">
        <w:rPr>
          <w:rFonts w:ascii="Times New Roman" w:eastAsia="Calibri" w:hAnsi="Times New Roman" w:cs="Times New Roman"/>
          <w:bCs/>
          <w:iCs/>
          <w:sz w:val="28"/>
          <w:szCs w:val="28"/>
          <w:lang w:val="ru-RU"/>
        </w:rPr>
        <w:t>дисертації</w:t>
      </w:r>
      <w:proofErr w:type="spellEnd"/>
      <w:r w:rsidRPr="00B46F60">
        <w:rPr>
          <w:rFonts w:ascii="Times New Roman" w:eastAsia="Calibri" w:hAnsi="Times New Roman" w:cs="Times New Roman"/>
          <w:bCs/>
          <w:iCs/>
          <w:sz w:val="28"/>
          <w:szCs w:val="28"/>
          <w:lang w:val="ru-RU"/>
        </w:rPr>
        <w:t xml:space="preserve">.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proofErr w:type="spellStart"/>
      <w:proofErr w:type="gramStart"/>
      <w:r w:rsidRPr="00B46F60">
        <w:rPr>
          <w:rFonts w:ascii="Times New Roman" w:eastAsia="Calibri" w:hAnsi="Times New Roman" w:cs="Times New Roman"/>
          <w:bCs/>
          <w:iCs/>
          <w:sz w:val="28"/>
          <w:szCs w:val="28"/>
          <w:lang w:val="ru-RU"/>
        </w:rPr>
        <w:t>Наприклад</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критикуючи</w:t>
      </w:r>
      <w:proofErr w:type="spellEnd"/>
      <w:r w:rsidRPr="00B46F60">
        <w:rPr>
          <w:rFonts w:ascii="Times New Roman" w:eastAsia="Calibri" w:hAnsi="Times New Roman" w:cs="Times New Roman"/>
          <w:bCs/>
          <w:iCs/>
          <w:sz w:val="28"/>
          <w:szCs w:val="28"/>
          <w:lang w:val="ru-RU"/>
        </w:rPr>
        <w:t xml:space="preserve"> з</w:t>
      </w:r>
      <w:proofErr w:type="spellStart"/>
      <w:r w:rsidRPr="00B46F60">
        <w:rPr>
          <w:rFonts w:ascii="Times New Roman" w:eastAsia="Calibri" w:hAnsi="Times New Roman" w:cs="Times New Roman"/>
          <w:bCs/>
          <w:iCs/>
          <w:sz w:val="28"/>
          <w:szCs w:val="28"/>
        </w:rPr>
        <w:t>аконодавця</w:t>
      </w:r>
      <w:proofErr w:type="spellEnd"/>
      <w:r w:rsidRPr="00B46F60">
        <w:rPr>
          <w:rFonts w:ascii="Times New Roman" w:eastAsia="Calibri" w:hAnsi="Times New Roman" w:cs="Times New Roman"/>
          <w:bCs/>
          <w:iCs/>
          <w:sz w:val="28"/>
          <w:szCs w:val="28"/>
        </w:rPr>
        <w:t xml:space="preserve"> за невизначеність звороту «інша службова особа банку», вжитого в тексті ст. 220-1 КК України «Порушення порядку ведення бази даних про вкладників або порядку формування звітності» (с. 31, 193),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у змодельованій нею відповідній забороні відтворює це недосконале, на її думку, формулювання.</w:t>
      </w:r>
      <w:proofErr w:type="gramEnd"/>
      <w:r w:rsidRPr="00B46F60">
        <w:rPr>
          <w:rFonts w:ascii="Times New Roman" w:eastAsia="Calibri" w:hAnsi="Times New Roman" w:cs="Times New Roman"/>
          <w:bCs/>
          <w:iCs/>
          <w:sz w:val="28"/>
          <w:szCs w:val="28"/>
        </w:rPr>
        <w:t xml:space="preserve"> Останнє, до речі, фігурує і в пропонованих до включення до КК України нормах про відповідальність за зловживання повноваженнями у сфері банківської діяльності і службову недбалість у сфері банківської діяльності (статтях 233-8 і 233-9, відповідно) (с. 520, 521).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lastRenderedPageBreak/>
        <w:t xml:space="preserve">Поділяючи точку зору, згідно з якою умисне порушення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 209-1 КК України) має описуватись у вдосконаленому кримінальному законі як формальний склад злочину з уникненням при цьому оціночної ознаки «істотна шкода охоронюваним законом правам, свободам чи інтересам окремих громадян, державним чи громадським інтересам або інтересам окремих юридичних осіб» (с. 184), здобувачка не втілює цю конструктивну ідею в авторській редакції зазначеної кримінально-правової заборони (с. 523–524).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Заявивши, що побудова санкцій кримінально-правових норм про відповідальність за злочини у сфері банківської діяльності у дисертації не досліджуватиметься і будуть запропоновані лише доктринальні варіанти диспозицій відповідних норм (с. 340), здобувачка у розробленому нею модельному розділі «Кримінальні правопорушення у сфері банківської діяльності» (с. 515–524) все ж формулює і власні редакції санкцій. Оптимальність останніх, звичайно, не може не викликати запитань, бо справді питання </w:t>
      </w:r>
      <w:proofErr w:type="spellStart"/>
      <w:r w:rsidRPr="00B46F60">
        <w:rPr>
          <w:rFonts w:ascii="Times New Roman" w:eastAsia="Calibri" w:hAnsi="Times New Roman" w:cs="Times New Roman"/>
          <w:bCs/>
          <w:iCs/>
          <w:sz w:val="28"/>
          <w:szCs w:val="28"/>
        </w:rPr>
        <w:t>пеналізації</w:t>
      </w:r>
      <w:proofErr w:type="spellEnd"/>
      <w:r w:rsidRPr="00B46F60">
        <w:rPr>
          <w:rFonts w:ascii="Times New Roman" w:eastAsia="Calibri" w:hAnsi="Times New Roman" w:cs="Times New Roman"/>
          <w:bCs/>
          <w:iCs/>
          <w:sz w:val="28"/>
          <w:szCs w:val="28"/>
        </w:rPr>
        <w:t xml:space="preserve"> банківських злочинів у рецензованій праці не досліджувались.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Повертаючись до проблеми вдосконалення закону про кримінальну відповідальність за доведення банку до неплатоспроможності, відзначу, що пані Аліна не помічає і, відповідно, не спростовує висловлений в юридичній літературі (Є.М. </w:t>
      </w:r>
      <w:proofErr w:type="spellStart"/>
      <w:r w:rsidRPr="00B46F60">
        <w:rPr>
          <w:rFonts w:ascii="Times New Roman" w:eastAsia="Calibri" w:hAnsi="Times New Roman" w:cs="Times New Roman"/>
          <w:bCs/>
          <w:iCs/>
          <w:sz w:val="28"/>
          <w:szCs w:val="28"/>
        </w:rPr>
        <w:t>Васілін</w:t>
      </w:r>
      <w:proofErr w:type="spellEnd"/>
      <w:r w:rsidRPr="00B46F60">
        <w:rPr>
          <w:rFonts w:ascii="Times New Roman" w:eastAsia="Calibri" w:hAnsi="Times New Roman" w:cs="Times New Roman"/>
          <w:bCs/>
          <w:iCs/>
          <w:sz w:val="28"/>
          <w:szCs w:val="28"/>
        </w:rPr>
        <w:t>) і відмінний від обстоюваного нею підхід, згідно з яким оптимальною моделлю законодавчого забезпечення кримінально-правової протидії випадкам доведення банків до неплатоспроможності є встановлення відповідальності за це діяння в рамках загальної норми про доведення до банкрутства (ст. 219 КК України) з наступним виділенням у рамках останньої кваліфікуючої ознаки, яка б враховувала специфіку доведення до неплатоспроможності банків та інших, «прирівняних» до них суб’єктів господарювання (</w:t>
      </w:r>
      <w:proofErr w:type="spellStart"/>
      <w:r w:rsidRPr="00B46F60">
        <w:rPr>
          <w:rFonts w:ascii="Times New Roman" w:eastAsia="Calibri" w:hAnsi="Times New Roman" w:cs="Times New Roman"/>
          <w:bCs/>
          <w:iCs/>
          <w:sz w:val="28"/>
          <w:szCs w:val="28"/>
        </w:rPr>
        <w:t>містоутворювальних</w:t>
      </w:r>
      <w:proofErr w:type="spellEnd"/>
      <w:r w:rsidRPr="00B46F60">
        <w:rPr>
          <w:rFonts w:ascii="Times New Roman" w:eastAsia="Calibri" w:hAnsi="Times New Roman" w:cs="Times New Roman"/>
          <w:bCs/>
          <w:iCs/>
          <w:sz w:val="28"/>
          <w:szCs w:val="28"/>
        </w:rPr>
        <w:t xml:space="preserve">, особливо небезпечних суб’єктів підприємницької діяльності, страховиків тощо). Сподіваюсь, </w:t>
      </w:r>
      <w:r w:rsidRPr="00B46F60">
        <w:rPr>
          <w:rFonts w:ascii="Times New Roman" w:eastAsia="Calibri" w:hAnsi="Times New Roman" w:cs="Times New Roman"/>
          <w:bCs/>
          <w:iCs/>
          <w:sz w:val="28"/>
          <w:szCs w:val="28"/>
        </w:rPr>
        <w:lastRenderedPageBreak/>
        <w:t xml:space="preserve">що під час захисту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дасть фахову оцінку наведеному доктринальному підходу.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4. Дискусійними видаються висловлювання дисертантки щодо необхідності доповнення КК України окремою статтею «Шахрайство у сфері кредитування», в якій йтиметься про «викрадення грошових коштів позичальником у спосіб подання банку або іншому кредитору завідомо неправдивих і (або) недостовірних відомостей» (с. 363, 519).</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Так, мені складно погодитись із здобувачкою у тому, що: розміщення ст.</w:t>
      </w:r>
      <w:r w:rsidRPr="00B46F60">
        <w:rPr>
          <w:rFonts w:ascii="Times New Roman" w:eastAsia="Calibri" w:hAnsi="Times New Roman" w:cs="Times New Roman"/>
          <w:bCs/>
          <w:iCs/>
          <w:sz w:val="28"/>
          <w:szCs w:val="28"/>
          <w:lang w:val="ru-RU"/>
        </w:rPr>
        <w:t> </w:t>
      </w:r>
      <w:r w:rsidRPr="00B46F60">
        <w:rPr>
          <w:rFonts w:ascii="Times New Roman" w:eastAsia="Calibri" w:hAnsi="Times New Roman" w:cs="Times New Roman"/>
          <w:bCs/>
          <w:iCs/>
          <w:sz w:val="28"/>
          <w:szCs w:val="28"/>
        </w:rPr>
        <w:t xml:space="preserve">190 «Шахрайство» у розділі Особливої частини КК України «Злочини проти власності», а ст. 222 «Шахрайство з фінансовими ресурсами» – у розділі «Злочини у сфері господарської діяльності» унеможливлює кримінальну відповідальність за «відносно поширені діяння, пов’язані зі спробами незаконно отримати кредит» (с. 70); за своїми об’єктивними та суб’єктивними ознаками шахрайство у сфері кредитування істотно відрізняється від складів злочинів «шахрайство» і «шахрайство з фінансовими ресурсами» (с. 344). Якихось переконливих аргументів на користь цих, на мій погляд, вельми спірних тверджень пані </w:t>
      </w:r>
      <w:proofErr w:type="spellStart"/>
      <w:r w:rsidRPr="00B46F60">
        <w:rPr>
          <w:rFonts w:ascii="Times New Roman" w:eastAsia="Calibri" w:hAnsi="Times New Roman" w:cs="Times New Roman"/>
          <w:bCs/>
          <w:iCs/>
          <w:sz w:val="28"/>
          <w:szCs w:val="28"/>
        </w:rPr>
        <w:t>Альона</w:t>
      </w:r>
      <w:proofErr w:type="spellEnd"/>
      <w:r w:rsidRPr="00B46F60">
        <w:rPr>
          <w:rFonts w:ascii="Times New Roman" w:eastAsia="Calibri" w:hAnsi="Times New Roman" w:cs="Times New Roman"/>
          <w:bCs/>
          <w:iCs/>
          <w:sz w:val="28"/>
          <w:szCs w:val="28"/>
        </w:rPr>
        <w:t xml:space="preserve"> у своїй роботі не наводить.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На с. 360 можна прочитати таке: «З об’єктивної сторони діяння незаконного одержання кредиту є подібним до шахрайства, проте при шахрайстві обман стосується різних обставин (щодо особи винного або предмета шахрайства), а при шахрайстві у сфері кредитування обман відбувається способом надання банку завідомо неправдивих (або не повних) відомостей щодо потенційного позичальника». Хочеться запитати у здобувачки: яким чином ця різниця може перешкодити інкримінуванню </w:t>
      </w:r>
      <w:proofErr w:type="spellStart"/>
      <w:r w:rsidRPr="00B46F60">
        <w:rPr>
          <w:rFonts w:ascii="Times New Roman" w:eastAsia="Calibri" w:hAnsi="Times New Roman" w:cs="Times New Roman"/>
          <w:bCs/>
          <w:iCs/>
          <w:sz w:val="28"/>
          <w:szCs w:val="28"/>
        </w:rPr>
        <w:t>ст.</w:t>
      </w:r>
      <w:proofErr w:type="spellEnd"/>
      <w:r w:rsidRPr="00B46F60">
        <w:rPr>
          <w:rFonts w:ascii="Times New Roman" w:eastAsia="Calibri" w:hAnsi="Times New Roman" w:cs="Times New Roman"/>
          <w:bCs/>
          <w:iCs/>
          <w:sz w:val="28"/>
          <w:szCs w:val="28"/>
        </w:rPr>
        <w:t> 190 КК України, якщо у скоєному встановлені всі ознаки передбаченого нею складу (наразі кримінального правопорушення)? Адже ст. 190 КК України є, так би мовити, універсальною нормою, охоплюючи випадки побутового, професійного та економічного шахрайства. Цікаво, що далі жодних таких перешкод не вбачає і сама здобувачка, бо пише, що</w:t>
      </w:r>
      <w:r w:rsidRPr="00B46F60">
        <w:rPr>
          <w:rFonts w:ascii="Times New Roman" w:eastAsia="Times New Roman" w:hAnsi="Times New Roman" w:cs="Times New Roman"/>
          <w:sz w:val="28"/>
          <w:szCs w:val="28"/>
          <w:lang w:eastAsia="ru-RU"/>
        </w:rPr>
        <w:t xml:space="preserve"> </w:t>
      </w:r>
      <w:r w:rsidRPr="00B46F60">
        <w:rPr>
          <w:rFonts w:ascii="Times New Roman" w:eastAsia="Calibri" w:hAnsi="Times New Roman" w:cs="Times New Roman"/>
          <w:bCs/>
          <w:iCs/>
          <w:sz w:val="28"/>
          <w:szCs w:val="28"/>
        </w:rPr>
        <w:t xml:space="preserve">положеннями цієї статті КК України охоплюються не лише випадки привласнення кредитних ресурсів </w:t>
      </w:r>
      <w:r w:rsidRPr="00B46F60">
        <w:rPr>
          <w:rFonts w:ascii="Times New Roman" w:eastAsia="Calibri" w:hAnsi="Times New Roman" w:cs="Times New Roman"/>
          <w:bCs/>
          <w:iCs/>
          <w:sz w:val="28"/>
          <w:szCs w:val="28"/>
        </w:rPr>
        <w:lastRenderedPageBreak/>
        <w:t>банківських установ, а й будь-які інші випадки привласнення коштів, отриманих обманним шляхом (с. 362).</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Вважаю також за недоречне услід за дисертанткою вести мову про «криміналізацію шахрайства у сфері кредитування як злочину, вчинюваного у сфері банківської діяльності» (с. 155), оскільки поява нових кримінально-правових заборон не завжди означає криміналізацію у сенсі збільшення (розширення) обсягу поведінки, яка визнається кримінально-протиправною. Вочевидь, у цьому разі авторка мала б наголошувати на доцільності диференціації кримінальної відповідальності за «кредитне» шахрайство як різновид шахрайства, наводячи вагомі аргументи на користь підходу, реалізованого законодавцем деяких зарубіжних країн, коли той, рухаючись шляхом конструювання казуїстичних кримінально-правових заборон, виокремлює різновиди шахрайства у певних сферах. До слова таке ж безпідставне використання терміну «криміналізація» спостерігається і тоді, коли авторка веде мову про доцільність доповнення КК України статтею «Службова недбалість у сфері банківської діяльності» (с. 15, 382, 387 та ін.).</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У тому, що «неправомірні дії в сфері банківської діяльності щодо кредитування» кваліфікуються у різний спосіб, здобувачка вбачає «очевидну суперечність, оскільки такі кваліфікації складають конкуренцію кримінально-правових норм, передбачених ст. 190 та 222 КК, якщо мова йде про злочин, вчинений відносно кредитних ресурсів банків» (с. 361). Натомість я таку конкуренцію кримінально-правових норм вважаю виправданою: і в юридичній літературі, і в судовій практиці усталеним є заснований на чинному кримінальному законі підхід, згідно з яким при відмежуванні шахрайства як кримінального правопорушення проти власності від шахрайства з фінансовими ресурсами як кримінального правопорушення у сфері господарської діяльності слід насамперед враховувати спрямованість умислу винної особи та момент його виникнення. До речі, авторські формулювання ст. 233-5 «Шахрайство з фінансовими ресурсами» і ст. 233-7 «Шахрайство у сфері кредитування» (с. 517–519) згадану конкуренцію </w:t>
      </w:r>
      <w:r w:rsidRPr="00B46F60">
        <w:rPr>
          <w:rFonts w:ascii="Times New Roman" w:eastAsia="Calibri" w:hAnsi="Times New Roman" w:cs="Times New Roman"/>
          <w:bCs/>
          <w:iCs/>
          <w:sz w:val="28"/>
          <w:szCs w:val="28"/>
        </w:rPr>
        <w:lastRenderedPageBreak/>
        <w:t xml:space="preserve">кримінально-правових норм не усувають, виходячи (треба так розуміти) з того, що її варто зберегти і надалі.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Щодо традиційного відтворення здобувачкою у тексті кримінально-правової заборони, присвяченої шахрайству з фінансовими ресурсами, словосполучення «у разі відсутності ознак злочину проти власності», то хотів би зауважити, що свого часу автором цих рядків вказане словосполучення пропонувалось замінити іншим зворотом – «без мети обернення їх на свою користь чи користь третіх осіб». Я виходив з того, що використання такого звороту чіткіше вказуватиме на те, що на момент вчинення шахрайства з фінансовими ресурсами у винного був відсутній умисел безоплатно і назавжди отримати субсидію, субвенцію, дотацію або кредит, які він одержує шляхом введення в оману відповідних адресатів, а отже, буде однозначно закріплено, за якою ознакою цей господарський злочин слід відмежовувати від суміжних складів злочинів</w:t>
      </w:r>
      <w:r w:rsidRPr="00B46F60">
        <w:rPr>
          <w:rFonts w:ascii="Times New Roman" w:eastAsia="Calibri" w:hAnsi="Times New Roman" w:cs="Times New Roman"/>
          <w:bCs/>
          <w:iCs/>
          <w:sz w:val="28"/>
          <w:szCs w:val="28"/>
          <w:vertAlign w:val="superscript"/>
        </w:rPr>
        <w:footnoteReference w:id="6"/>
      </w:r>
      <w:r w:rsidRPr="00B46F60">
        <w:rPr>
          <w:rFonts w:ascii="Times New Roman" w:eastAsia="Calibri" w:hAnsi="Times New Roman" w:cs="Times New Roman"/>
          <w:bCs/>
          <w:iCs/>
          <w:sz w:val="28"/>
          <w:szCs w:val="28"/>
        </w:rPr>
        <w:t xml:space="preserve">.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Бажано, щоб під час захисту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висловила своє ставлення до зазначеної доктринальної пропозиції, як і до пропозиції (О.О. </w:t>
      </w:r>
      <w:proofErr w:type="spellStart"/>
      <w:r w:rsidRPr="00B46F60">
        <w:rPr>
          <w:rFonts w:ascii="Times New Roman" w:eastAsia="Calibri" w:hAnsi="Times New Roman" w:cs="Times New Roman"/>
          <w:bCs/>
          <w:iCs/>
          <w:sz w:val="28"/>
          <w:szCs w:val="28"/>
        </w:rPr>
        <w:t>Дудоров</w:t>
      </w:r>
      <w:proofErr w:type="spellEnd"/>
      <w:r w:rsidRPr="00B46F60">
        <w:rPr>
          <w:rFonts w:ascii="Times New Roman" w:eastAsia="Calibri" w:hAnsi="Times New Roman" w:cs="Times New Roman"/>
          <w:bCs/>
          <w:iCs/>
          <w:sz w:val="28"/>
          <w:szCs w:val="28"/>
        </w:rPr>
        <w:t xml:space="preserve">, В.Р. Мойсик та ін.) виключити зі статті КК України про відповідальність за шахрайство з фінансовими ресурсами згадування про пільгу щодо податків. Річ у тім, що втілена у чинних редакціях ст. 212 і ст. 222 КК України диференціація кримінальної відповідальності за пов’язані з використанням податкових пільг зловживання платників податків (їхніх службових осіб) є невиправданою. Ця невиправданість, на яку пані </w:t>
      </w:r>
      <w:proofErr w:type="spellStart"/>
      <w:r w:rsidRPr="00B46F60">
        <w:rPr>
          <w:rFonts w:ascii="Times New Roman" w:eastAsia="Calibri" w:hAnsi="Times New Roman" w:cs="Times New Roman"/>
          <w:bCs/>
          <w:iCs/>
          <w:sz w:val="28"/>
          <w:szCs w:val="28"/>
        </w:rPr>
        <w:t>Альона</w:t>
      </w:r>
      <w:proofErr w:type="spellEnd"/>
      <w:r w:rsidRPr="00B46F60">
        <w:rPr>
          <w:rFonts w:ascii="Times New Roman" w:eastAsia="Calibri" w:hAnsi="Times New Roman" w:cs="Times New Roman"/>
          <w:bCs/>
          <w:iCs/>
          <w:sz w:val="28"/>
          <w:szCs w:val="28"/>
        </w:rPr>
        <w:t xml:space="preserve"> не зважає та яка зумовлена, серед іншого, економічно некоректним визнанням пільги щодо податків різновидом фінансових ресурсів, полягає у закріпленій у зазначених статтях КК України неузгодженості параметрів суспільно небезпечних наслідків у вигляді несплачених податків, різниці у санкціях та у відсутності уніфікованої термінології для позначення предмета фактично однакових за суспільною небезпекою та юридичною природою кримінально-протиправних порушень податкового законодавства.</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lastRenderedPageBreak/>
        <w:t>5.</w:t>
      </w:r>
      <w:r w:rsidRPr="00B46F60">
        <w:rPr>
          <w:rFonts w:ascii="Times New Roman" w:eastAsia="Calibri" w:hAnsi="Times New Roman" w:cs="Times New Roman"/>
          <w:b/>
          <w:bCs/>
          <w:iCs/>
          <w:sz w:val="28"/>
          <w:szCs w:val="28"/>
        </w:rPr>
        <w:t xml:space="preserve"> </w:t>
      </w:r>
      <w:r w:rsidRPr="00B46F60">
        <w:rPr>
          <w:rFonts w:ascii="Times New Roman" w:eastAsia="Calibri" w:hAnsi="Times New Roman" w:cs="Times New Roman"/>
          <w:bCs/>
          <w:iCs/>
          <w:sz w:val="28"/>
          <w:szCs w:val="28"/>
        </w:rPr>
        <w:t xml:space="preserve">Серед інших на захист висувається положення про помилковість декриміналізації суспільно небезпечного діяння, передбаченого ст. 202 КК України «Порушення порядку зайняття господарською діяльністю та діяльністю з надання фінансових послуг», на тій підставі, що така декриміналізація «відбулася без запровадження альтернативних заходів протидії відповідним правопорушенням, що створило прогалину у законодавстві України у частині захисту банківської діяльності в Україні» (с. 13). Із посиланням на автореферат кандидатської дисертації </w:t>
      </w:r>
      <w:proofErr w:type="spellStart"/>
      <w:r w:rsidRPr="00B46F60">
        <w:rPr>
          <w:rFonts w:ascii="Times New Roman" w:eastAsia="Calibri" w:hAnsi="Times New Roman" w:cs="Times New Roman"/>
          <w:bCs/>
          <w:iCs/>
          <w:sz w:val="28"/>
          <w:szCs w:val="28"/>
        </w:rPr>
        <w:t>Є.Ф. Боб</w:t>
      </w:r>
      <w:proofErr w:type="spellEnd"/>
      <w:r w:rsidRPr="00B46F60">
        <w:rPr>
          <w:rFonts w:ascii="Times New Roman" w:eastAsia="Calibri" w:hAnsi="Times New Roman" w:cs="Times New Roman"/>
          <w:bCs/>
          <w:iCs/>
          <w:sz w:val="28"/>
          <w:szCs w:val="28"/>
        </w:rPr>
        <w:t>онича (джерело під номером 27) вказується на існування в «кримінальному законодавстві окремих держав Західної Європи, США, країн Балтії та СНД» відповідальності за порушення порядку зайняття господарською діяльністю та діяльністю з надання фінансових послуг. Стверджується також, що в умовах кризи в банківській сфері згадана кримінально-правова заборона могла б відіграти суспільно-корисну роль (с. 49–50). З приводу наведених міркувань дисертантки хотів би зауважити таке.</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Якщо декриміналізація діяння, забороненого виключеною у 2011 р. </w:t>
      </w:r>
      <w:proofErr w:type="spellStart"/>
      <w:r w:rsidRPr="00B46F60">
        <w:rPr>
          <w:rFonts w:ascii="Times New Roman" w:eastAsia="Calibri" w:hAnsi="Times New Roman" w:cs="Times New Roman"/>
          <w:bCs/>
          <w:iCs/>
          <w:sz w:val="28"/>
          <w:szCs w:val="28"/>
        </w:rPr>
        <w:t>ст.</w:t>
      </w:r>
      <w:proofErr w:type="spellEnd"/>
      <w:r w:rsidRPr="00B46F60">
        <w:rPr>
          <w:rFonts w:ascii="Times New Roman" w:eastAsia="Calibri" w:hAnsi="Times New Roman" w:cs="Times New Roman"/>
          <w:bCs/>
          <w:iCs/>
          <w:sz w:val="28"/>
          <w:szCs w:val="28"/>
        </w:rPr>
        <w:t xml:space="preserve"> 202 КК України, була помилковою, і наразі має місце прогалина в кримінально-правовому регулюванні певних суспільних відносин, то чому в розробленому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модельному розділі </w:t>
      </w:r>
      <w:r w:rsidRPr="00B46F60">
        <w:rPr>
          <w:rFonts w:ascii="Times New Roman" w:eastAsia="Calibri" w:hAnsi="Times New Roman" w:cs="Times New Roman"/>
          <w:bCs/>
          <w:iCs/>
          <w:sz w:val="28"/>
          <w:szCs w:val="28"/>
          <w:lang w:val="en-US"/>
        </w:rPr>
        <w:t>VII</w:t>
      </w:r>
      <w:r w:rsidRPr="00B46F60">
        <w:rPr>
          <w:rFonts w:ascii="Times New Roman" w:eastAsia="Calibri" w:hAnsi="Times New Roman" w:cs="Times New Roman"/>
          <w:bCs/>
          <w:iCs/>
          <w:sz w:val="28"/>
          <w:szCs w:val="28"/>
        </w:rPr>
        <w:t xml:space="preserve">-1 Особливої частини КК України «Кримінальні правопорушення у сфері банківської діяльності» відсутній аналог такої заборони (щонайменше в тій частині, яка стосується сфери банківської діяльності) на кшталт ст. 174 КК </w:t>
      </w:r>
      <w:proofErr w:type="spellStart"/>
      <w:r w:rsidRPr="00B46F60">
        <w:rPr>
          <w:rFonts w:ascii="Times New Roman" w:eastAsia="Calibri" w:hAnsi="Times New Roman" w:cs="Times New Roman"/>
          <w:bCs/>
          <w:iCs/>
          <w:sz w:val="28"/>
          <w:szCs w:val="28"/>
        </w:rPr>
        <w:t>КНР</w:t>
      </w:r>
      <w:proofErr w:type="spellEnd"/>
      <w:r w:rsidRPr="00B46F60">
        <w:rPr>
          <w:rFonts w:ascii="Times New Roman" w:eastAsia="Calibri" w:hAnsi="Times New Roman" w:cs="Times New Roman"/>
          <w:bCs/>
          <w:iCs/>
          <w:sz w:val="28"/>
          <w:szCs w:val="28"/>
        </w:rPr>
        <w:t>, яка карає, зокрема, за самовільне створення банку чи іншої фінансової структури (с. 78)? Отже, критика здобувачки на адресу вітчизняного законодавця (на мій погляд, у цьому разі частково виправдана) не виглядає конструктивною.</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За наявності ст. 166-8 </w:t>
      </w:r>
      <w:proofErr w:type="spellStart"/>
      <w:r w:rsidRPr="00B46F60">
        <w:rPr>
          <w:rFonts w:ascii="Times New Roman" w:eastAsia="Calibri" w:hAnsi="Times New Roman" w:cs="Times New Roman"/>
          <w:bCs/>
          <w:iCs/>
          <w:sz w:val="28"/>
          <w:szCs w:val="28"/>
        </w:rPr>
        <w:t>КУпАП</w:t>
      </w:r>
      <w:proofErr w:type="spellEnd"/>
      <w:r w:rsidRPr="00B46F60">
        <w:rPr>
          <w:rFonts w:ascii="Times New Roman" w:eastAsia="Calibri" w:hAnsi="Times New Roman" w:cs="Times New Roman"/>
          <w:bCs/>
          <w:iCs/>
          <w:sz w:val="28"/>
          <w:szCs w:val="28"/>
        </w:rPr>
        <w:t xml:space="preserve"> «Порушення порядку зайняття діяльністю з надання фінансових послуг», яка передбачає відповідальність у тому числі за здійснення банківської діяльності, банківських операцій або іншої діяльності з надання фінансових послуг без набуття статусу фінансової установи чи без належного спеціального дозволу (ліцензії), точніше вести мову не про відсутність альтернативних заходів протидії відповідним правопорушенням, як це робить </w:t>
      </w:r>
      <w:r w:rsidRPr="00B46F60">
        <w:rPr>
          <w:rFonts w:ascii="Times New Roman" w:eastAsia="Calibri" w:hAnsi="Times New Roman" w:cs="Times New Roman"/>
          <w:bCs/>
          <w:iCs/>
          <w:sz w:val="28"/>
          <w:szCs w:val="28"/>
        </w:rPr>
        <w:lastRenderedPageBreak/>
        <w:t>дисертантка, а про недостатність (неефективність тощо) таких альтернативних заходів.</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Висловлю сумнів і в коректності розміщення аналізованого теоретичного положення в рубриці наукової новизни «вперше». Річ у тім, що в юридичній літературі ще в 2012 р. констатувалась нелогічність вилучення з КК України норм про відповідальність за порушення порядку зайняття господарською діяльністю та діяльністю з надання фінансових послуг (ст.</w:t>
      </w:r>
      <w:r w:rsidRPr="00B46F60">
        <w:rPr>
          <w:rFonts w:ascii="Times New Roman" w:eastAsia="Calibri" w:hAnsi="Times New Roman" w:cs="Times New Roman"/>
          <w:bCs/>
          <w:iCs/>
          <w:sz w:val="28"/>
          <w:szCs w:val="28"/>
          <w:lang w:val="ru-RU"/>
        </w:rPr>
        <w:t> </w:t>
      </w:r>
      <w:r w:rsidRPr="00B46F60">
        <w:rPr>
          <w:rFonts w:ascii="Times New Roman" w:eastAsia="Calibri" w:hAnsi="Times New Roman" w:cs="Times New Roman"/>
          <w:bCs/>
          <w:iCs/>
          <w:sz w:val="28"/>
          <w:szCs w:val="28"/>
        </w:rPr>
        <w:t>202) і зайняття забороненими видами господарської діяльності (ст.</w:t>
      </w:r>
      <w:r w:rsidRPr="00B46F60">
        <w:rPr>
          <w:rFonts w:ascii="Times New Roman" w:eastAsia="Calibri" w:hAnsi="Times New Roman" w:cs="Times New Roman"/>
          <w:bCs/>
          <w:iCs/>
          <w:sz w:val="28"/>
          <w:szCs w:val="28"/>
          <w:lang w:val="ru-RU"/>
        </w:rPr>
        <w:t> </w:t>
      </w:r>
      <w:r w:rsidRPr="00B46F60">
        <w:rPr>
          <w:rFonts w:ascii="Times New Roman" w:eastAsia="Calibri" w:hAnsi="Times New Roman" w:cs="Times New Roman"/>
          <w:bCs/>
          <w:iCs/>
          <w:sz w:val="28"/>
          <w:szCs w:val="28"/>
        </w:rPr>
        <w:t xml:space="preserve">203), які є загальними щодо інших норм, залишених у структурі розділу </w:t>
      </w:r>
      <w:r w:rsidRPr="00B46F60">
        <w:rPr>
          <w:rFonts w:ascii="Times New Roman" w:eastAsia="Calibri" w:hAnsi="Times New Roman" w:cs="Times New Roman"/>
          <w:bCs/>
          <w:iCs/>
          <w:sz w:val="28"/>
          <w:szCs w:val="28"/>
          <w:lang w:val="en-US"/>
        </w:rPr>
        <w:t>VII</w:t>
      </w:r>
      <w:r w:rsidRPr="00B46F60">
        <w:rPr>
          <w:rFonts w:ascii="Times New Roman" w:eastAsia="Calibri" w:hAnsi="Times New Roman" w:cs="Times New Roman"/>
          <w:bCs/>
          <w:iCs/>
          <w:sz w:val="28"/>
          <w:szCs w:val="28"/>
        </w:rPr>
        <w:t xml:space="preserve"> Особливої частини КК України (статті 203-1, 203-2, 204, 213). Зокрема, зазначалось, що суспільна небезпека незаконних операцій з металобрухтом на порядок є </w:t>
      </w:r>
      <w:proofErr w:type="spellStart"/>
      <w:r w:rsidRPr="00B46F60">
        <w:rPr>
          <w:rFonts w:ascii="Times New Roman" w:eastAsia="Calibri" w:hAnsi="Times New Roman" w:cs="Times New Roman"/>
          <w:bCs/>
          <w:iCs/>
          <w:sz w:val="28"/>
          <w:szCs w:val="28"/>
        </w:rPr>
        <w:t>нижчю</w:t>
      </w:r>
      <w:proofErr w:type="spellEnd"/>
      <w:r w:rsidRPr="00B46F60">
        <w:rPr>
          <w:rFonts w:ascii="Times New Roman" w:eastAsia="Calibri" w:hAnsi="Times New Roman" w:cs="Times New Roman"/>
          <w:bCs/>
          <w:iCs/>
          <w:sz w:val="28"/>
          <w:szCs w:val="28"/>
        </w:rPr>
        <w:t xml:space="preserve"> від суспільної небезпеки, наприклад, діяльності з надання фінансових послуг чи професійної діяльності на ринку цінних паперів без отримання спеціального дозволу чи набуття статусу фінансової установи</w:t>
      </w:r>
      <w:r w:rsidRPr="00B46F60">
        <w:rPr>
          <w:rFonts w:ascii="Times New Roman" w:eastAsia="Calibri" w:hAnsi="Times New Roman" w:cs="Times New Roman"/>
          <w:bCs/>
          <w:iCs/>
          <w:sz w:val="28"/>
          <w:szCs w:val="28"/>
          <w:vertAlign w:val="superscript"/>
        </w:rPr>
        <w:footnoteReference w:id="7"/>
      </w:r>
      <w:r w:rsidRPr="00B46F60">
        <w:rPr>
          <w:rFonts w:ascii="Times New Roman" w:eastAsia="Calibri" w:hAnsi="Times New Roman" w:cs="Times New Roman"/>
          <w:bCs/>
          <w:iCs/>
          <w:sz w:val="28"/>
          <w:szCs w:val="28"/>
        </w:rPr>
        <w:t xml:space="preserve">.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У 2017 р. автор цих рядків разом із Р.О. Мовчаном і В.Б. </w:t>
      </w:r>
      <w:proofErr w:type="spellStart"/>
      <w:r w:rsidRPr="00B46F60">
        <w:rPr>
          <w:rFonts w:ascii="Times New Roman" w:eastAsia="Calibri" w:hAnsi="Times New Roman" w:cs="Times New Roman"/>
          <w:bCs/>
          <w:iCs/>
          <w:sz w:val="28"/>
          <w:szCs w:val="28"/>
        </w:rPr>
        <w:t>Дацюком</w:t>
      </w:r>
      <w:proofErr w:type="spellEnd"/>
      <w:r w:rsidRPr="00B46F60">
        <w:rPr>
          <w:rFonts w:ascii="Times New Roman" w:eastAsia="Calibri" w:hAnsi="Times New Roman" w:cs="Times New Roman"/>
          <w:bCs/>
          <w:iCs/>
          <w:sz w:val="28"/>
          <w:szCs w:val="28"/>
        </w:rPr>
        <w:t xml:space="preserve"> у контексті наявної та перспективної кримінально-правової оцінки зловживань, пов’язаних із створенням фінансових пірамід, писав про неправильність декриміналізації діянь, раніше передбачених статтями 202, 218, 220, 221, 223 КК України, шляхом механічного переведення описаних у них діянь у статус адміністративних проступків. Відзначалось, зокрема, те, що сама по собі відсутність практики застосування певної кримінально-правової норми не є підставою для декриміналізації описаного в ній діяння, адже в такому випадку законодавець нехтує ознакою латентності, характерною для значної частини злочинів у сфері господарської діяльності. Ми висловились за </w:t>
      </w:r>
      <w:proofErr w:type="spellStart"/>
      <w:r w:rsidRPr="00B46F60">
        <w:rPr>
          <w:rFonts w:ascii="Times New Roman" w:eastAsia="Calibri" w:hAnsi="Times New Roman" w:cs="Times New Roman"/>
          <w:bCs/>
          <w:iCs/>
          <w:sz w:val="28"/>
          <w:szCs w:val="28"/>
        </w:rPr>
        <w:t>рекриміналізацію</w:t>
      </w:r>
      <w:proofErr w:type="spellEnd"/>
      <w:r w:rsidRPr="00B46F60">
        <w:rPr>
          <w:rFonts w:ascii="Times New Roman" w:eastAsia="Calibri" w:hAnsi="Times New Roman" w:cs="Times New Roman"/>
          <w:bCs/>
          <w:iCs/>
          <w:sz w:val="28"/>
          <w:szCs w:val="28"/>
        </w:rPr>
        <w:t xml:space="preserve"> порушення порядку зайняття діяльністю з надання фінансових послуг, зазначаючи при цьому, що законодавцю варто надати перевагу використанню узагальненого формулювання, узгодженого з понятійним апаратом регулятивного законодавства, наприклад, </w:t>
      </w:r>
      <w:r w:rsidRPr="00B46F60">
        <w:rPr>
          <w:rFonts w:ascii="Times New Roman" w:eastAsia="Calibri" w:hAnsi="Times New Roman" w:cs="Times New Roman"/>
          <w:bCs/>
          <w:iCs/>
          <w:sz w:val="28"/>
          <w:szCs w:val="28"/>
        </w:rPr>
        <w:lastRenderedPageBreak/>
        <w:t>такого: надання фінансових послуг без набуття статусу фінансової установи та/або спеціального дозволу, одержання якого передбачено законодавством</w:t>
      </w:r>
      <w:r w:rsidRPr="00B46F60">
        <w:rPr>
          <w:rFonts w:ascii="Times New Roman" w:eastAsia="Calibri" w:hAnsi="Times New Roman" w:cs="Times New Roman"/>
          <w:bCs/>
          <w:iCs/>
          <w:sz w:val="28"/>
          <w:szCs w:val="28"/>
          <w:vertAlign w:val="superscript"/>
        </w:rPr>
        <w:footnoteReference w:id="8"/>
      </w:r>
      <w:r w:rsidRPr="00B46F60">
        <w:rPr>
          <w:rFonts w:ascii="Times New Roman" w:eastAsia="Calibri" w:hAnsi="Times New Roman" w:cs="Times New Roman"/>
          <w:bCs/>
          <w:iCs/>
          <w:sz w:val="28"/>
          <w:szCs w:val="28"/>
        </w:rPr>
        <w:t>.</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Вимушений привернути увагу і до того, що аргументація здобувачки на користь обстоюваної нею тези про помилковість декриміналізації порушення порядку зайняття господарською діяльністю та діяльністю з надання фінансових послуг носить фрагментарний та однобічний характер. Питання про роль відповідної кримінально-правової заборони в системі засобів із детінізації національної економіки насправді є набагато складнішим, ніж це випливає з міркувань пані </w:t>
      </w:r>
      <w:proofErr w:type="spellStart"/>
      <w:r w:rsidRPr="00B46F60">
        <w:rPr>
          <w:rFonts w:ascii="Times New Roman" w:eastAsia="Calibri" w:hAnsi="Times New Roman" w:cs="Times New Roman"/>
          <w:bCs/>
          <w:iCs/>
          <w:sz w:val="28"/>
          <w:szCs w:val="28"/>
        </w:rPr>
        <w:t>Альони</w:t>
      </w:r>
      <w:proofErr w:type="spellEnd"/>
      <w:r w:rsidRPr="00B46F60">
        <w:rPr>
          <w:rFonts w:ascii="Times New Roman" w:eastAsia="Calibri" w:hAnsi="Times New Roman" w:cs="Times New Roman"/>
          <w:bCs/>
          <w:iCs/>
          <w:sz w:val="28"/>
          <w:szCs w:val="28"/>
        </w:rPr>
        <w:t xml:space="preserve">. Так, </w:t>
      </w:r>
      <w:r w:rsidRPr="00B46F60">
        <w:rPr>
          <w:rFonts w:ascii="Times New Roman" w:eastAsia="Calibri" w:hAnsi="Times New Roman" w:cs="Times New Roman"/>
          <w:bCs/>
          <w:iCs/>
          <w:sz w:val="28"/>
          <w:szCs w:val="28"/>
          <w:lang w:val="ru-RU"/>
        </w:rPr>
        <w:t xml:space="preserve">не </w:t>
      </w:r>
      <w:r w:rsidRPr="00B46F60">
        <w:rPr>
          <w:rFonts w:ascii="Times New Roman" w:eastAsia="Calibri" w:hAnsi="Times New Roman" w:cs="Times New Roman"/>
          <w:bCs/>
          <w:iCs/>
          <w:sz w:val="28"/>
          <w:szCs w:val="28"/>
        </w:rPr>
        <w:t xml:space="preserve">є </w:t>
      </w:r>
      <w:r w:rsidRPr="00B46F60">
        <w:rPr>
          <w:rFonts w:ascii="Times New Roman" w:eastAsia="Calibri" w:hAnsi="Times New Roman" w:cs="Times New Roman"/>
          <w:bCs/>
          <w:iCs/>
          <w:sz w:val="28"/>
          <w:szCs w:val="28"/>
          <w:lang w:val="ru-RU"/>
        </w:rPr>
        <w:t>секрет</w:t>
      </w:r>
      <w:r w:rsidRPr="00B46F60">
        <w:rPr>
          <w:rFonts w:ascii="Times New Roman" w:eastAsia="Calibri" w:hAnsi="Times New Roman" w:cs="Times New Roman"/>
          <w:bCs/>
          <w:iCs/>
          <w:sz w:val="28"/>
          <w:szCs w:val="28"/>
        </w:rPr>
        <w:t>ом</w:t>
      </w:r>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що</w:t>
      </w:r>
      <w:proofErr w:type="spellEnd"/>
      <w:r w:rsidRPr="00B46F60">
        <w:rPr>
          <w:rFonts w:ascii="Times New Roman" w:eastAsia="Calibri" w:hAnsi="Times New Roman" w:cs="Times New Roman"/>
          <w:bCs/>
          <w:iCs/>
          <w:sz w:val="28"/>
          <w:szCs w:val="28"/>
          <w:lang w:val="ru-RU"/>
        </w:rPr>
        <w:t xml:space="preserve"> для </w:t>
      </w:r>
      <w:proofErr w:type="spellStart"/>
      <w:r w:rsidRPr="00B46F60">
        <w:rPr>
          <w:rFonts w:ascii="Times New Roman" w:eastAsia="Calibri" w:hAnsi="Times New Roman" w:cs="Times New Roman"/>
          <w:bCs/>
          <w:iCs/>
          <w:sz w:val="28"/>
          <w:szCs w:val="28"/>
          <w:lang w:val="ru-RU"/>
        </w:rPr>
        <w:t>значної</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частини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працездатного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населення</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України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тіньова</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економіка</w:t>
      </w:r>
      <w:proofErr w:type="spellEnd"/>
      <w:r w:rsidRPr="00B46F60">
        <w:rPr>
          <w:rFonts w:ascii="Times New Roman" w:eastAsia="Calibri" w:hAnsi="Times New Roman" w:cs="Times New Roman"/>
          <w:bCs/>
          <w:iCs/>
          <w:sz w:val="28"/>
          <w:szCs w:val="28"/>
          <w:lang w:val="ru-RU"/>
        </w:rPr>
        <w:t xml:space="preserve"> є сферою </w:t>
      </w:r>
      <w:proofErr w:type="spellStart"/>
      <w:r w:rsidRPr="00B46F60">
        <w:rPr>
          <w:rFonts w:ascii="Times New Roman" w:eastAsia="Calibri" w:hAnsi="Times New Roman" w:cs="Times New Roman"/>
          <w:bCs/>
          <w:iCs/>
          <w:sz w:val="28"/>
          <w:szCs w:val="28"/>
          <w:lang w:val="ru-RU"/>
        </w:rPr>
        <w:t>докладання</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зусиль</w:t>
      </w:r>
      <w:proofErr w:type="spellEnd"/>
      <w:r w:rsidRPr="00B46F60">
        <w:rPr>
          <w:rFonts w:ascii="Times New Roman" w:eastAsia="Calibri" w:hAnsi="Times New Roman" w:cs="Times New Roman"/>
          <w:bCs/>
          <w:iCs/>
          <w:sz w:val="28"/>
          <w:szCs w:val="28"/>
          <w:lang w:val="ru-RU"/>
        </w:rPr>
        <w:t xml:space="preserve"> і, </w:t>
      </w:r>
      <w:proofErr w:type="spellStart"/>
      <w:r w:rsidRPr="00B46F60">
        <w:rPr>
          <w:rFonts w:ascii="Times New Roman" w:eastAsia="Calibri" w:hAnsi="Times New Roman" w:cs="Times New Roman"/>
          <w:bCs/>
          <w:iCs/>
          <w:sz w:val="28"/>
          <w:szCs w:val="28"/>
          <w:lang w:val="ru-RU"/>
        </w:rPr>
        <w:t>відповідно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джерелом</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матеріального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благополуччя</w:t>
      </w:r>
      <w:proofErr w:type="spellEnd"/>
      <w:r w:rsidRPr="00B46F60">
        <w:rPr>
          <w:rFonts w:ascii="Times New Roman" w:eastAsia="Calibri" w:hAnsi="Times New Roman" w:cs="Times New Roman"/>
          <w:bCs/>
          <w:iCs/>
          <w:sz w:val="28"/>
          <w:szCs w:val="28"/>
          <w:lang w:val="ru-RU"/>
        </w:rPr>
        <w:t xml:space="preserve">. У </w:t>
      </w:r>
      <w:proofErr w:type="spellStart"/>
      <w:r w:rsidRPr="00B46F60">
        <w:rPr>
          <w:rFonts w:ascii="Times New Roman" w:eastAsia="Calibri" w:hAnsi="Times New Roman" w:cs="Times New Roman"/>
          <w:bCs/>
          <w:iCs/>
          <w:sz w:val="28"/>
          <w:szCs w:val="28"/>
          <w:lang w:val="ru-RU"/>
        </w:rPr>
        <w:t>кримінологічній</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літературі</w:t>
      </w:r>
      <w:proofErr w:type="spellEnd"/>
      <w:r w:rsidRPr="00B46F60">
        <w:rPr>
          <w:rFonts w:ascii="Times New Roman" w:eastAsia="Calibri" w:hAnsi="Times New Roman" w:cs="Times New Roman"/>
          <w:bCs/>
          <w:iCs/>
          <w:sz w:val="28"/>
          <w:szCs w:val="28"/>
          <w:lang w:val="ru-RU"/>
        </w:rPr>
        <w:t xml:space="preserve"> з </w:t>
      </w:r>
      <w:proofErr w:type="spellStart"/>
      <w:r w:rsidRPr="00B46F60">
        <w:rPr>
          <w:rFonts w:ascii="Times New Roman" w:eastAsia="Calibri" w:hAnsi="Times New Roman" w:cs="Times New Roman"/>
          <w:bCs/>
          <w:iCs/>
          <w:sz w:val="28"/>
          <w:szCs w:val="28"/>
          <w:lang w:val="ru-RU"/>
        </w:rPr>
        <w:t>цього</w:t>
      </w:r>
      <w:proofErr w:type="spellEnd"/>
      <w:r w:rsidRPr="00B46F60">
        <w:rPr>
          <w:rFonts w:ascii="Times New Roman" w:eastAsia="Calibri" w:hAnsi="Times New Roman" w:cs="Times New Roman"/>
          <w:bCs/>
          <w:iCs/>
          <w:sz w:val="28"/>
          <w:szCs w:val="28"/>
          <w:lang w:val="ru-RU"/>
        </w:rPr>
        <w:t xml:space="preserve"> приводу </w:t>
      </w:r>
      <w:proofErr w:type="spellStart"/>
      <w:r w:rsidRPr="00B46F60">
        <w:rPr>
          <w:rFonts w:ascii="Times New Roman" w:eastAsia="Calibri" w:hAnsi="Times New Roman" w:cs="Times New Roman"/>
          <w:bCs/>
          <w:iCs/>
          <w:sz w:val="28"/>
          <w:szCs w:val="28"/>
          <w:lang w:val="ru-RU"/>
        </w:rPr>
        <w:t>можна</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навіть</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прочитати</w:t>
      </w:r>
      <w:proofErr w:type="spellEnd"/>
      <w:r w:rsidRPr="00B46F60">
        <w:rPr>
          <w:rFonts w:ascii="Times New Roman" w:eastAsia="Calibri" w:hAnsi="Times New Roman" w:cs="Times New Roman"/>
          <w:bCs/>
          <w:iCs/>
          <w:sz w:val="28"/>
          <w:szCs w:val="28"/>
          <w:lang w:val="ru-RU"/>
        </w:rPr>
        <w:t xml:space="preserve"> про </w:t>
      </w:r>
      <w:proofErr w:type="spellStart"/>
      <w:r w:rsidRPr="00B46F60">
        <w:rPr>
          <w:rFonts w:ascii="Times New Roman" w:eastAsia="Calibri" w:hAnsi="Times New Roman" w:cs="Times New Roman"/>
          <w:bCs/>
          <w:iCs/>
          <w:sz w:val="28"/>
          <w:szCs w:val="28"/>
          <w:lang w:val="ru-RU"/>
        </w:rPr>
        <w:t>появу</w:t>
      </w:r>
      <w:proofErr w:type="spellEnd"/>
      <w:r w:rsidRPr="00B46F60">
        <w:rPr>
          <w:rFonts w:ascii="Times New Roman" w:eastAsia="Calibri" w:hAnsi="Times New Roman" w:cs="Times New Roman"/>
          <w:bCs/>
          <w:iCs/>
          <w:sz w:val="28"/>
          <w:szCs w:val="28"/>
          <w:lang w:val="ru-RU"/>
        </w:rPr>
        <w:t xml:space="preserve"> в </w:t>
      </w:r>
      <w:proofErr w:type="spellStart"/>
      <w:r w:rsidRPr="00B46F60">
        <w:rPr>
          <w:rFonts w:ascii="Times New Roman" w:eastAsia="Calibri" w:hAnsi="Times New Roman" w:cs="Times New Roman"/>
          <w:bCs/>
          <w:iCs/>
          <w:sz w:val="28"/>
          <w:szCs w:val="28"/>
          <w:lang w:val="ru-RU"/>
        </w:rPr>
        <w:t>нашому</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суспільстві</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верстви</w:t>
      </w:r>
      <w:proofErr w:type="spellEnd"/>
      <w:r w:rsidRPr="00B46F60">
        <w:rPr>
          <w:rFonts w:ascii="Times New Roman" w:eastAsia="Calibri" w:hAnsi="Times New Roman" w:cs="Times New Roman"/>
          <w:bCs/>
          <w:iCs/>
          <w:sz w:val="28"/>
          <w:szCs w:val="28"/>
          <w:lang w:val="ru-RU"/>
        </w:rPr>
        <w:t xml:space="preserve"> </w:t>
      </w:r>
      <w:r w:rsidRPr="00B46F60">
        <w:rPr>
          <w:rFonts w:ascii="Times New Roman" w:eastAsia="Calibri" w:hAnsi="Times New Roman" w:cs="Times New Roman"/>
          <w:bCs/>
          <w:iCs/>
          <w:sz w:val="28"/>
          <w:szCs w:val="28"/>
        </w:rPr>
        <w:t>«</w:t>
      </w:r>
      <w:proofErr w:type="spellStart"/>
      <w:r w:rsidRPr="00B46F60">
        <w:rPr>
          <w:rFonts w:ascii="Times New Roman" w:eastAsia="Calibri" w:hAnsi="Times New Roman" w:cs="Times New Roman"/>
          <w:bCs/>
          <w:iCs/>
          <w:sz w:val="28"/>
          <w:szCs w:val="28"/>
          <w:lang w:val="ru-RU"/>
        </w:rPr>
        <w:t>вимушених</w:t>
      </w:r>
      <w:proofErr w:type="spellEnd"/>
      <w:r w:rsidRPr="00B46F60">
        <w:rPr>
          <w:rFonts w:ascii="Times New Roman" w:eastAsia="Calibri" w:hAnsi="Times New Roman" w:cs="Times New Roman"/>
          <w:bCs/>
          <w:iCs/>
          <w:sz w:val="28"/>
          <w:szCs w:val="28"/>
          <w:lang w:val="ru-RU"/>
        </w:rPr>
        <w:t xml:space="preserve"> </w:t>
      </w:r>
      <w:proofErr w:type="spellStart"/>
      <w:proofErr w:type="gramStart"/>
      <w:r w:rsidRPr="00B46F60">
        <w:rPr>
          <w:rFonts w:ascii="Times New Roman" w:eastAsia="Calibri" w:hAnsi="Times New Roman" w:cs="Times New Roman"/>
          <w:bCs/>
          <w:iCs/>
          <w:sz w:val="28"/>
          <w:szCs w:val="28"/>
          <w:lang w:val="ru-RU"/>
        </w:rPr>
        <w:t>п</w:t>
      </w:r>
      <w:proofErr w:type="gramEnd"/>
      <w:r w:rsidRPr="00B46F60">
        <w:rPr>
          <w:rFonts w:ascii="Times New Roman" w:eastAsia="Calibri" w:hAnsi="Times New Roman" w:cs="Times New Roman"/>
          <w:bCs/>
          <w:iCs/>
          <w:sz w:val="28"/>
          <w:szCs w:val="28"/>
          <w:lang w:val="ru-RU"/>
        </w:rPr>
        <w:t>ідприємців</w:t>
      </w:r>
      <w:proofErr w:type="spellEnd"/>
      <w:r w:rsidRPr="00B46F60">
        <w:rPr>
          <w:rFonts w:ascii="Times New Roman" w:eastAsia="Calibri" w:hAnsi="Times New Roman" w:cs="Times New Roman"/>
          <w:bCs/>
          <w:iCs/>
          <w:sz w:val="28"/>
          <w:szCs w:val="28"/>
        </w:rPr>
        <w:t>»</w:t>
      </w:r>
      <w:r w:rsidRPr="00B46F60">
        <w:rPr>
          <w:rFonts w:ascii="Times New Roman" w:eastAsia="Calibri" w:hAnsi="Times New Roman" w:cs="Times New Roman"/>
          <w:bCs/>
          <w:iCs/>
          <w:sz w:val="28"/>
          <w:szCs w:val="28"/>
          <w:lang w:val="ru-RU"/>
        </w:rPr>
        <w:t xml:space="preserve"> і про те, </w:t>
      </w:r>
      <w:proofErr w:type="spellStart"/>
      <w:r w:rsidRPr="00B46F60">
        <w:rPr>
          <w:rFonts w:ascii="Times New Roman" w:eastAsia="Calibri" w:hAnsi="Times New Roman" w:cs="Times New Roman"/>
          <w:bCs/>
          <w:iCs/>
          <w:sz w:val="28"/>
          <w:szCs w:val="28"/>
          <w:lang w:val="ru-RU"/>
        </w:rPr>
        <w:t>що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незареєстрований</w:t>
      </w:r>
      <w:proofErr w:type="spellEnd"/>
      <w:r w:rsidRPr="00B46F60">
        <w:rPr>
          <w:rFonts w:ascii="Times New Roman" w:eastAsia="Calibri" w:hAnsi="Times New Roman" w:cs="Times New Roman"/>
          <w:bCs/>
          <w:iCs/>
          <w:sz w:val="28"/>
          <w:szCs w:val="28"/>
          <w:lang w:val="ru-RU"/>
        </w:rPr>
        <w:t xml:space="preserve"> сектор ринку, </w:t>
      </w:r>
      <w:proofErr w:type="spellStart"/>
      <w:r w:rsidRPr="00B46F60">
        <w:rPr>
          <w:rFonts w:ascii="Times New Roman" w:eastAsia="Calibri" w:hAnsi="Times New Roman" w:cs="Times New Roman"/>
          <w:bCs/>
          <w:iCs/>
          <w:sz w:val="28"/>
          <w:szCs w:val="28"/>
          <w:lang w:val="ru-RU"/>
        </w:rPr>
        <w:t>охоплюючи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виробництво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торгівлю</w:t>
      </w:r>
      <w:proofErr w:type="spellEnd"/>
      <w:r w:rsidRPr="00B46F60">
        <w:rPr>
          <w:rFonts w:ascii="Times New Roman" w:eastAsia="Calibri" w:hAnsi="Times New Roman" w:cs="Times New Roman"/>
          <w:bCs/>
          <w:iCs/>
          <w:sz w:val="28"/>
          <w:szCs w:val="28"/>
          <w:lang w:val="ru-RU"/>
        </w:rPr>
        <w:t xml:space="preserve"> і сферу </w:t>
      </w:r>
      <w:proofErr w:type="spellStart"/>
      <w:r w:rsidRPr="00B46F60">
        <w:rPr>
          <w:rFonts w:ascii="Times New Roman" w:eastAsia="Calibri" w:hAnsi="Times New Roman" w:cs="Times New Roman"/>
          <w:bCs/>
          <w:iCs/>
          <w:sz w:val="28"/>
          <w:szCs w:val="28"/>
          <w:lang w:val="ru-RU"/>
        </w:rPr>
        <w:t>послуг</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виконує</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функцію</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соціального</w:t>
      </w:r>
      <w:proofErr w:type="spellEnd"/>
      <w:r w:rsidRPr="00B46F60">
        <w:rPr>
          <w:rFonts w:ascii="Times New Roman" w:eastAsia="Calibri" w:hAnsi="Times New Roman" w:cs="Times New Roman"/>
          <w:bCs/>
          <w:iCs/>
          <w:sz w:val="28"/>
          <w:szCs w:val="28"/>
          <w:lang w:val="ru-RU"/>
        </w:rPr>
        <w:t xml:space="preserve"> амортизатора. Тому </w:t>
      </w:r>
      <w:r w:rsidRPr="00B46F60">
        <w:rPr>
          <w:rFonts w:ascii="Times New Roman" w:eastAsia="Calibri" w:hAnsi="Times New Roman" w:cs="Times New Roman"/>
          <w:bCs/>
          <w:iCs/>
          <w:sz w:val="28"/>
          <w:szCs w:val="28"/>
        </w:rPr>
        <w:t xml:space="preserve">і </w:t>
      </w:r>
      <w:r w:rsidRPr="00B46F60">
        <w:rPr>
          <w:rFonts w:ascii="Times New Roman" w:eastAsia="Calibri" w:hAnsi="Times New Roman" w:cs="Times New Roman"/>
          <w:bCs/>
          <w:iCs/>
          <w:sz w:val="28"/>
          <w:szCs w:val="28"/>
          <w:lang w:val="ru-RU"/>
        </w:rPr>
        <w:t xml:space="preserve">не дивно, </w:t>
      </w:r>
      <w:proofErr w:type="spellStart"/>
      <w:r w:rsidRPr="00B46F60">
        <w:rPr>
          <w:rFonts w:ascii="Times New Roman" w:eastAsia="Calibri" w:hAnsi="Times New Roman" w:cs="Times New Roman"/>
          <w:bCs/>
          <w:iCs/>
          <w:sz w:val="28"/>
          <w:szCs w:val="28"/>
          <w:lang w:val="ru-RU"/>
        </w:rPr>
        <w:t>що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необхідність</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існування</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кримінальної</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відповідальності</w:t>
      </w:r>
      <w:proofErr w:type="spellEnd"/>
      <w:r w:rsidRPr="00B46F60">
        <w:rPr>
          <w:rFonts w:ascii="Times New Roman" w:eastAsia="Calibri" w:hAnsi="Times New Roman" w:cs="Times New Roman"/>
          <w:bCs/>
          <w:iCs/>
          <w:sz w:val="28"/>
          <w:szCs w:val="28"/>
          <w:lang w:val="ru-RU"/>
        </w:rPr>
        <w:t xml:space="preserve"> за </w:t>
      </w:r>
      <w:proofErr w:type="spellStart"/>
      <w:r w:rsidRPr="00B46F60">
        <w:rPr>
          <w:rFonts w:ascii="Times New Roman" w:eastAsia="Calibri" w:hAnsi="Times New Roman" w:cs="Times New Roman"/>
          <w:bCs/>
          <w:iCs/>
          <w:sz w:val="28"/>
          <w:szCs w:val="28"/>
          <w:lang w:val="ru-RU"/>
        </w:rPr>
        <w:t>порушення</w:t>
      </w:r>
      <w:proofErr w:type="spellEnd"/>
      <w:r w:rsidRPr="00B46F60">
        <w:rPr>
          <w:rFonts w:ascii="Times New Roman" w:eastAsia="Calibri" w:hAnsi="Times New Roman" w:cs="Times New Roman"/>
          <w:bCs/>
          <w:iCs/>
          <w:sz w:val="28"/>
          <w:szCs w:val="28"/>
          <w:lang w:val="ru-RU"/>
        </w:rPr>
        <w:t xml:space="preserve"> порядку </w:t>
      </w:r>
      <w:proofErr w:type="spellStart"/>
      <w:r w:rsidRPr="00B46F60">
        <w:rPr>
          <w:rFonts w:ascii="Times New Roman" w:eastAsia="Calibri" w:hAnsi="Times New Roman" w:cs="Times New Roman"/>
          <w:bCs/>
          <w:iCs/>
          <w:sz w:val="28"/>
          <w:szCs w:val="28"/>
          <w:lang w:val="ru-RU"/>
        </w:rPr>
        <w:t>зайняття</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господарською</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діяльністю</w:t>
      </w:r>
      <w:proofErr w:type="spellEnd"/>
      <w:r w:rsidRPr="00B46F60">
        <w:rPr>
          <w:rFonts w:ascii="Times New Roman" w:eastAsia="Calibri" w:hAnsi="Times New Roman" w:cs="Times New Roman"/>
          <w:bCs/>
          <w:iCs/>
          <w:sz w:val="28"/>
          <w:szCs w:val="28"/>
          <w:lang w:val="ru-RU"/>
        </w:rPr>
        <w:t xml:space="preserve"> та </w:t>
      </w:r>
      <w:proofErr w:type="spellStart"/>
      <w:r w:rsidRPr="00B46F60">
        <w:rPr>
          <w:rFonts w:ascii="Times New Roman" w:eastAsia="Calibri" w:hAnsi="Times New Roman" w:cs="Times New Roman"/>
          <w:bCs/>
          <w:iCs/>
          <w:sz w:val="28"/>
          <w:szCs w:val="28"/>
          <w:lang w:val="ru-RU"/>
        </w:rPr>
        <w:t>діяльністю</w:t>
      </w:r>
      <w:proofErr w:type="spellEnd"/>
      <w:r w:rsidRPr="00B46F60">
        <w:rPr>
          <w:rFonts w:ascii="Times New Roman" w:eastAsia="Calibri" w:hAnsi="Times New Roman" w:cs="Times New Roman"/>
          <w:bCs/>
          <w:iCs/>
          <w:sz w:val="28"/>
          <w:szCs w:val="28"/>
          <w:lang w:val="ru-RU"/>
        </w:rPr>
        <w:t xml:space="preserve"> з </w:t>
      </w:r>
      <w:proofErr w:type="spellStart"/>
      <w:r w:rsidRPr="00B46F60">
        <w:rPr>
          <w:rFonts w:ascii="Times New Roman" w:eastAsia="Calibri" w:hAnsi="Times New Roman" w:cs="Times New Roman"/>
          <w:bCs/>
          <w:iCs/>
          <w:sz w:val="28"/>
          <w:szCs w:val="28"/>
          <w:lang w:val="ru-RU"/>
        </w:rPr>
        <w:t>надання</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фінансових</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послуг</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або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принаймні</w:t>
      </w:r>
      <w:proofErr w:type="spellEnd"/>
      <w:r w:rsidRPr="00B46F60">
        <w:rPr>
          <w:rFonts w:ascii="Times New Roman" w:eastAsia="Calibri" w:hAnsi="Times New Roman" w:cs="Times New Roman"/>
          <w:bCs/>
          <w:iCs/>
          <w:sz w:val="28"/>
          <w:szCs w:val="28"/>
          <w:lang w:val="ru-RU"/>
        </w:rPr>
        <w:t xml:space="preserve"> за </w:t>
      </w:r>
      <w:proofErr w:type="spellStart"/>
      <w:r w:rsidRPr="00B46F60">
        <w:rPr>
          <w:rFonts w:ascii="Times New Roman" w:eastAsia="Calibri" w:hAnsi="Times New Roman" w:cs="Times New Roman"/>
          <w:bCs/>
          <w:iCs/>
          <w:sz w:val="28"/>
          <w:szCs w:val="28"/>
          <w:lang w:val="ru-RU"/>
        </w:rPr>
        <w:t>окремі</w:t>
      </w:r>
      <w:proofErr w:type="spellEnd"/>
      <w:r w:rsidRPr="00B46F60">
        <w:rPr>
          <w:rFonts w:ascii="Times New Roman" w:eastAsia="Calibri" w:hAnsi="Times New Roman" w:cs="Times New Roman"/>
          <w:bCs/>
          <w:iCs/>
          <w:sz w:val="28"/>
          <w:szCs w:val="28"/>
          <w:lang w:val="ru-RU"/>
        </w:rPr>
        <w:t xml:space="preserve"> </w:t>
      </w:r>
      <w:proofErr w:type="spellStart"/>
      <w:proofErr w:type="gramStart"/>
      <w:r w:rsidRPr="00B46F60">
        <w:rPr>
          <w:rFonts w:ascii="Times New Roman" w:eastAsia="Calibri" w:hAnsi="Times New Roman" w:cs="Times New Roman"/>
          <w:bCs/>
          <w:iCs/>
          <w:sz w:val="28"/>
          <w:szCs w:val="28"/>
          <w:lang w:val="ru-RU"/>
        </w:rPr>
        <w:t>р</w:t>
      </w:r>
      <w:proofErr w:type="gramEnd"/>
      <w:r w:rsidRPr="00B46F60">
        <w:rPr>
          <w:rFonts w:ascii="Times New Roman" w:eastAsia="Calibri" w:hAnsi="Times New Roman" w:cs="Times New Roman"/>
          <w:bCs/>
          <w:iCs/>
          <w:sz w:val="28"/>
          <w:szCs w:val="28"/>
          <w:lang w:val="ru-RU"/>
        </w:rPr>
        <w:t>ізновиди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цього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господарського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злочину</w:t>
      </w:r>
      <w:proofErr w:type="spellEnd"/>
      <w:r w:rsidRPr="00B46F60">
        <w:rPr>
          <w:rFonts w:ascii="Times New Roman" w:eastAsia="Calibri" w:hAnsi="Times New Roman" w:cs="Times New Roman"/>
          <w:bCs/>
          <w:iCs/>
          <w:sz w:val="28"/>
          <w:szCs w:val="28"/>
          <w:lang w:val="ru-RU"/>
        </w:rPr>
        <w:t xml:space="preserve"> (за </w:t>
      </w:r>
      <w:proofErr w:type="spellStart"/>
      <w:r w:rsidRPr="00B46F60">
        <w:rPr>
          <w:rFonts w:ascii="Times New Roman" w:eastAsia="Calibri" w:hAnsi="Times New Roman" w:cs="Times New Roman"/>
          <w:bCs/>
          <w:iCs/>
          <w:sz w:val="28"/>
          <w:szCs w:val="28"/>
          <w:lang w:val="ru-RU"/>
        </w:rPr>
        <w:t>наявності</w:t>
      </w:r>
      <w:proofErr w:type="spellEnd"/>
      <w:r w:rsidRPr="00B46F60">
        <w:rPr>
          <w:rFonts w:ascii="Times New Roman" w:eastAsia="Calibri" w:hAnsi="Times New Roman" w:cs="Times New Roman"/>
          <w:bCs/>
          <w:iCs/>
          <w:sz w:val="28"/>
          <w:szCs w:val="28"/>
          <w:lang w:val="ru-RU"/>
        </w:rPr>
        <w:t xml:space="preserve"> в </w:t>
      </w:r>
      <w:proofErr w:type="spellStart"/>
      <w:r w:rsidRPr="00B46F60">
        <w:rPr>
          <w:rFonts w:ascii="Times New Roman" w:eastAsia="Calibri" w:hAnsi="Times New Roman" w:cs="Times New Roman"/>
          <w:bCs/>
          <w:iCs/>
          <w:sz w:val="28"/>
          <w:szCs w:val="28"/>
          <w:lang w:val="ru-RU"/>
        </w:rPr>
        <w:t>КК</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України</w:t>
      </w:r>
      <w:proofErr w:type="spellEnd"/>
      <w:r w:rsidRPr="00B46F60">
        <w:rPr>
          <w:rFonts w:ascii="Times New Roman" w:eastAsia="Calibri" w:hAnsi="Times New Roman" w:cs="Times New Roman"/>
          <w:bCs/>
          <w:iCs/>
          <w:sz w:val="28"/>
          <w:szCs w:val="28"/>
          <w:lang w:val="ru-RU"/>
        </w:rPr>
        <w:t xml:space="preserve"> ст. 202) не </w:t>
      </w:r>
      <w:proofErr w:type="spellStart"/>
      <w:r w:rsidRPr="00B46F60">
        <w:rPr>
          <w:rFonts w:ascii="Times New Roman" w:eastAsia="Calibri" w:hAnsi="Times New Roman" w:cs="Times New Roman"/>
          <w:bCs/>
          <w:iCs/>
          <w:sz w:val="28"/>
          <w:szCs w:val="28"/>
          <w:lang w:val="ru-RU"/>
        </w:rPr>
        <w:t>була</w:t>
      </w:r>
      <w:proofErr w:type="spellEnd"/>
      <w:r w:rsidRPr="00B46F60">
        <w:rPr>
          <w:rFonts w:ascii="Times New Roman" w:eastAsia="Calibri" w:hAnsi="Times New Roman" w:cs="Times New Roman"/>
          <w:bCs/>
          <w:iCs/>
          <w:sz w:val="28"/>
          <w:szCs w:val="28"/>
          <w:lang w:val="ru-RU"/>
        </w:rPr>
        <w:t xml:space="preserve"> очевидною для </w:t>
      </w:r>
      <w:proofErr w:type="spellStart"/>
      <w:r w:rsidRPr="00B46F60">
        <w:rPr>
          <w:rFonts w:ascii="Times New Roman" w:eastAsia="Calibri" w:hAnsi="Times New Roman" w:cs="Times New Roman"/>
          <w:bCs/>
          <w:iCs/>
          <w:sz w:val="28"/>
          <w:szCs w:val="28"/>
          <w:lang w:val="ru-RU"/>
        </w:rPr>
        <w:t>частини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вітчизняних</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дослідників</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переконаних</w:t>
      </w:r>
      <w:proofErr w:type="spellEnd"/>
      <w:r w:rsidRPr="00B46F60">
        <w:rPr>
          <w:rFonts w:ascii="Times New Roman" w:eastAsia="Calibri" w:hAnsi="Times New Roman" w:cs="Times New Roman"/>
          <w:bCs/>
          <w:iCs/>
          <w:sz w:val="28"/>
          <w:szCs w:val="28"/>
          <w:lang w:val="ru-RU"/>
        </w:rPr>
        <w:t xml:space="preserve"> у тому, </w:t>
      </w:r>
      <w:proofErr w:type="spellStart"/>
      <w:r w:rsidRPr="00B46F60">
        <w:rPr>
          <w:rFonts w:ascii="Times New Roman" w:eastAsia="Calibri" w:hAnsi="Times New Roman" w:cs="Times New Roman"/>
          <w:bCs/>
          <w:iCs/>
          <w:sz w:val="28"/>
          <w:szCs w:val="28"/>
          <w:lang w:val="ru-RU"/>
        </w:rPr>
        <w:t>що</w:t>
      </w:r>
      <w:proofErr w:type="spellEnd"/>
      <w:r w:rsidRPr="00B46F60">
        <w:rPr>
          <w:rFonts w:ascii="Times New Roman" w:eastAsia="Calibri" w:hAnsi="Times New Roman" w:cs="Times New Roman"/>
          <w:bCs/>
          <w:iCs/>
          <w:sz w:val="28"/>
          <w:szCs w:val="28"/>
          <w:lang w:val="ru-RU"/>
        </w:rPr>
        <w:t xml:space="preserve"> на </w:t>
      </w:r>
      <w:proofErr w:type="spellStart"/>
      <w:r w:rsidRPr="00B46F60">
        <w:rPr>
          <w:rFonts w:ascii="Times New Roman" w:eastAsia="Calibri" w:hAnsi="Times New Roman" w:cs="Times New Roman"/>
          <w:bCs/>
          <w:iCs/>
          <w:sz w:val="28"/>
          <w:szCs w:val="28"/>
          <w:lang w:val="ru-RU"/>
        </w:rPr>
        <w:t>правопорушення</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які</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супроводжуються</w:t>
      </w:r>
      <w:proofErr w:type="spellEnd"/>
      <w:r w:rsidRPr="00B46F60">
        <w:rPr>
          <w:rFonts w:ascii="Times New Roman" w:eastAsia="Calibri" w:hAnsi="Times New Roman" w:cs="Times New Roman"/>
          <w:bCs/>
          <w:iCs/>
          <w:sz w:val="28"/>
          <w:szCs w:val="28"/>
          <w:lang w:val="ru-RU"/>
        </w:rPr>
        <w:t xml:space="preserve"> не </w:t>
      </w:r>
      <w:proofErr w:type="spellStart"/>
      <w:r w:rsidRPr="00B46F60">
        <w:rPr>
          <w:rFonts w:ascii="Times New Roman" w:eastAsia="Calibri" w:hAnsi="Times New Roman" w:cs="Times New Roman"/>
          <w:bCs/>
          <w:iCs/>
          <w:sz w:val="28"/>
          <w:szCs w:val="28"/>
          <w:lang w:val="ru-RU"/>
        </w:rPr>
        <w:t>заподіянням</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шкоди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правохоронюваним</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інтересам</w:t>
      </w:r>
      <w:proofErr w:type="spellEnd"/>
      <w:r w:rsidRPr="00B46F60">
        <w:rPr>
          <w:rFonts w:ascii="Times New Roman" w:eastAsia="Calibri" w:hAnsi="Times New Roman" w:cs="Times New Roman"/>
          <w:bCs/>
          <w:iCs/>
          <w:sz w:val="28"/>
          <w:szCs w:val="28"/>
          <w:lang w:val="ru-RU"/>
        </w:rPr>
        <w:t xml:space="preserve">, а </w:t>
      </w:r>
      <w:proofErr w:type="spellStart"/>
      <w:r w:rsidRPr="00B46F60">
        <w:rPr>
          <w:rFonts w:ascii="Times New Roman" w:eastAsia="Calibri" w:hAnsi="Times New Roman" w:cs="Times New Roman"/>
          <w:bCs/>
          <w:iCs/>
          <w:sz w:val="28"/>
          <w:szCs w:val="28"/>
          <w:lang w:val="ru-RU"/>
        </w:rPr>
        <w:t>отриманням</w:t>
      </w:r>
      <w:proofErr w:type="spellEnd"/>
      <w:r w:rsidRPr="00B46F60">
        <w:rPr>
          <w:rFonts w:ascii="Times New Roman" w:eastAsia="Calibri" w:hAnsi="Times New Roman" w:cs="Times New Roman"/>
          <w:bCs/>
          <w:iCs/>
          <w:sz w:val="28"/>
          <w:szCs w:val="28"/>
          <w:lang w:val="ru-RU"/>
        </w:rPr>
        <w:t xml:space="preserve"> доходу, </w:t>
      </w:r>
      <w:proofErr w:type="spellStart"/>
      <w:r w:rsidRPr="00B46F60">
        <w:rPr>
          <w:rFonts w:ascii="Times New Roman" w:eastAsia="Calibri" w:hAnsi="Times New Roman" w:cs="Times New Roman"/>
          <w:bCs/>
          <w:iCs/>
          <w:sz w:val="28"/>
          <w:szCs w:val="28"/>
          <w:lang w:val="ru-RU"/>
        </w:rPr>
        <w:t>варто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було</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реагувати</w:t>
      </w:r>
      <w:proofErr w:type="spellEnd"/>
      <w:r w:rsidRPr="00B46F60">
        <w:rPr>
          <w:rFonts w:ascii="Times New Roman" w:eastAsia="Calibri" w:hAnsi="Times New Roman" w:cs="Times New Roman"/>
          <w:bCs/>
          <w:iCs/>
          <w:sz w:val="28"/>
          <w:szCs w:val="28"/>
          <w:lang w:val="ru-RU"/>
        </w:rPr>
        <w:t xml:space="preserve"> за </w:t>
      </w:r>
      <w:proofErr w:type="spellStart"/>
      <w:r w:rsidRPr="00B46F60">
        <w:rPr>
          <w:rFonts w:ascii="Times New Roman" w:eastAsia="Calibri" w:hAnsi="Times New Roman" w:cs="Times New Roman"/>
          <w:bCs/>
          <w:iCs/>
          <w:sz w:val="28"/>
          <w:szCs w:val="28"/>
          <w:lang w:val="ru-RU"/>
        </w:rPr>
        <w:t>допомогою</w:t>
      </w:r>
      <w:proofErr w:type="spellEnd"/>
      <w:r w:rsidRPr="00B46F60">
        <w:rPr>
          <w:rFonts w:ascii="Times New Roman" w:eastAsia="Calibri" w:hAnsi="Times New Roman" w:cs="Times New Roman"/>
          <w:bCs/>
          <w:iCs/>
          <w:sz w:val="28"/>
          <w:szCs w:val="28"/>
          <w:lang w:val="ru-RU"/>
        </w:rPr>
        <w:t xml:space="preserve"> не </w:t>
      </w:r>
      <w:proofErr w:type="spellStart"/>
      <w:r w:rsidRPr="00B46F60">
        <w:rPr>
          <w:rFonts w:ascii="Times New Roman" w:eastAsia="Calibri" w:hAnsi="Times New Roman" w:cs="Times New Roman"/>
          <w:bCs/>
          <w:iCs/>
          <w:sz w:val="28"/>
          <w:szCs w:val="28"/>
          <w:lang w:val="ru-RU"/>
        </w:rPr>
        <w:t>кримінально-правових</w:t>
      </w:r>
      <w:proofErr w:type="spellEnd"/>
      <w:r w:rsidRPr="00B46F60">
        <w:rPr>
          <w:rFonts w:ascii="Times New Roman" w:eastAsia="Calibri" w:hAnsi="Times New Roman" w:cs="Times New Roman"/>
          <w:bCs/>
          <w:iCs/>
          <w:sz w:val="28"/>
          <w:szCs w:val="28"/>
          <w:lang w:val="ru-RU"/>
        </w:rPr>
        <w:t xml:space="preserve">, а </w:t>
      </w:r>
      <w:proofErr w:type="spellStart"/>
      <w:proofErr w:type="gramStart"/>
      <w:r w:rsidRPr="00B46F60">
        <w:rPr>
          <w:rFonts w:ascii="Times New Roman" w:eastAsia="Calibri" w:hAnsi="Times New Roman" w:cs="Times New Roman"/>
          <w:bCs/>
          <w:iCs/>
          <w:sz w:val="28"/>
          <w:szCs w:val="28"/>
          <w:lang w:val="ru-RU"/>
        </w:rPr>
        <w:t>адм</w:t>
      </w:r>
      <w:proofErr w:type="gramEnd"/>
      <w:r w:rsidRPr="00B46F60">
        <w:rPr>
          <w:rFonts w:ascii="Times New Roman" w:eastAsia="Calibri" w:hAnsi="Times New Roman" w:cs="Times New Roman"/>
          <w:bCs/>
          <w:iCs/>
          <w:sz w:val="28"/>
          <w:szCs w:val="28"/>
          <w:lang w:val="ru-RU"/>
        </w:rPr>
        <w:t>іністративно-правових</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господарсько-правових</w:t>
      </w:r>
      <w:proofErr w:type="spellEnd"/>
      <w:r w:rsidRPr="00B46F60">
        <w:rPr>
          <w:rFonts w:ascii="Times New Roman" w:eastAsia="Calibri" w:hAnsi="Times New Roman" w:cs="Times New Roman"/>
          <w:bCs/>
          <w:iCs/>
          <w:sz w:val="28"/>
          <w:szCs w:val="28"/>
          <w:lang w:val="ru-RU"/>
        </w:rPr>
        <w:t xml:space="preserve"> та (</w:t>
      </w:r>
      <w:proofErr w:type="spellStart"/>
      <w:r w:rsidRPr="00B46F60">
        <w:rPr>
          <w:rFonts w:ascii="Times New Roman" w:eastAsia="Calibri" w:hAnsi="Times New Roman" w:cs="Times New Roman"/>
          <w:bCs/>
          <w:iCs/>
          <w:sz w:val="28"/>
          <w:szCs w:val="28"/>
          <w:lang w:val="ru-RU"/>
        </w:rPr>
        <w:t>чи</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фінансово-правових</w:t>
      </w:r>
      <w:proofErr w:type="spellEnd"/>
      <w:r w:rsidRPr="00B46F60">
        <w:rPr>
          <w:rFonts w:ascii="Times New Roman" w:eastAsia="Calibri" w:hAnsi="Times New Roman" w:cs="Times New Roman"/>
          <w:bCs/>
          <w:iCs/>
          <w:sz w:val="28"/>
          <w:szCs w:val="28"/>
          <w:lang w:val="ru-RU"/>
        </w:rPr>
        <w:t xml:space="preserve"> </w:t>
      </w:r>
      <w:proofErr w:type="spellStart"/>
      <w:r w:rsidRPr="00B46F60">
        <w:rPr>
          <w:rFonts w:ascii="Times New Roman" w:eastAsia="Calibri" w:hAnsi="Times New Roman" w:cs="Times New Roman"/>
          <w:bCs/>
          <w:iCs/>
          <w:sz w:val="28"/>
          <w:szCs w:val="28"/>
          <w:lang w:val="ru-RU"/>
        </w:rPr>
        <w:t>засобів</w:t>
      </w:r>
      <w:proofErr w:type="spellEnd"/>
      <w:r w:rsidRPr="00B46F60">
        <w:rPr>
          <w:rFonts w:ascii="Times New Roman" w:eastAsia="Calibri" w:hAnsi="Times New Roman" w:cs="Times New Roman"/>
          <w:bCs/>
          <w:iCs/>
          <w:sz w:val="28"/>
          <w:szCs w:val="28"/>
          <w:lang w:val="ru-RU"/>
        </w:rPr>
        <w:t xml:space="preserve">. </w:t>
      </w:r>
      <w:r w:rsidRPr="00B46F60">
        <w:rPr>
          <w:rFonts w:ascii="Times New Roman" w:eastAsia="Calibri" w:hAnsi="Times New Roman" w:cs="Times New Roman"/>
          <w:bCs/>
          <w:iCs/>
          <w:sz w:val="28"/>
          <w:szCs w:val="28"/>
        </w:rPr>
        <w:t xml:space="preserve">Наприклад, особисто для мене була сумнівною позиція нашого законодавця, який у ст. 202 КК України надавав однакового кваліфікуючого значення факту відсутності державної реєстрації суб’єкта підприємництва, факту відсутності ліцензії на певний вид господарської діяльності і факту порушення ліцензійних умов (стосуються кваліфікаційних вимог до працівників суб’єктів господарювання, їхньої матеріально-технічної бази тощо).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lastRenderedPageBreak/>
        <w:t xml:space="preserve">І нарешті про відповідний зарубіжний досвід. Цікаво, що Є.Ф. </w:t>
      </w:r>
      <w:proofErr w:type="spellStart"/>
      <w:r w:rsidRPr="00B46F60">
        <w:rPr>
          <w:rFonts w:ascii="Times New Roman" w:eastAsia="Calibri" w:hAnsi="Times New Roman" w:cs="Times New Roman"/>
          <w:bCs/>
          <w:iCs/>
          <w:sz w:val="28"/>
          <w:szCs w:val="28"/>
        </w:rPr>
        <w:t>Бобонич</w:t>
      </w:r>
      <w:proofErr w:type="spellEnd"/>
      <w:r w:rsidRPr="00B46F60">
        <w:rPr>
          <w:rFonts w:ascii="Times New Roman" w:eastAsia="Calibri" w:hAnsi="Times New Roman" w:cs="Times New Roman"/>
          <w:bCs/>
          <w:iCs/>
          <w:sz w:val="28"/>
          <w:szCs w:val="28"/>
        </w:rPr>
        <w:t xml:space="preserve">, на кваліфікаційну працю якого посилається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насправді встановив, що в кримінальному законодавстві багатьох держав (причому як представниць </w:t>
      </w:r>
      <w:proofErr w:type="spellStart"/>
      <w:r w:rsidRPr="00B46F60">
        <w:rPr>
          <w:rFonts w:ascii="Times New Roman" w:eastAsia="Calibri" w:hAnsi="Times New Roman" w:cs="Times New Roman"/>
          <w:bCs/>
          <w:iCs/>
          <w:sz w:val="28"/>
          <w:szCs w:val="28"/>
        </w:rPr>
        <w:t>романо-германської</w:t>
      </w:r>
      <w:proofErr w:type="spellEnd"/>
      <w:r w:rsidRPr="00B46F60">
        <w:rPr>
          <w:rFonts w:ascii="Times New Roman" w:eastAsia="Calibri" w:hAnsi="Times New Roman" w:cs="Times New Roman"/>
          <w:bCs/>
          <w:iCs/>
          <w:sz w:val="28"/>
          <w:szCs w:val="28"/>
        </w:rPr>
        <w:t xml:space="preserve"> правової системи, так й інших) аналоги </w:t>
      </w:r>
      <w:proofErr w:type="spellStart"/>
      <w:r w:rsidRPr="00B46F60">
        <w:rPr>
          <w:rFonts w:ascii="Times New Roman" w:eastAsia="Calibri" w:hAnsi="Times New Roman" w:cs="Times New Roman"/>
          <w:bCs/>
          <w:iCs/>
          <w:sz w:val="28"/>
          <w:szCs w:val="28"/>
        </w:rPr>
        <w:t>ст.</w:t>
      </w:r>
      <w:proofErr w:type="spellEnd"/>
      <w:r w:rsidRPr="00B46F60">
        <w:rPr>
          <w:rFonts w:ascii="Times New Roman" w:eastAsia="Calibri" w:hAnsi="Times New Roman" w:cs="Times New Roman"/>
          <w:bCs/>
          <w:iCs/>
          <w:sz w:val="28"/>
          <w:szCs w:val="28"/>
        </w:rPr>
        <w:t> 202 КК України відсутні</w:t>
      </w:r>
      <w:r w:rsidRPr="00B46F60">
        <w:rPr>
          <w:rFonts w:ascii="Times New Roman" w:eastAsia="Calibri" w:hAnsi="Times New Roman" w:cs="Times New Roman"/>
          <w:bCs/>
          <w:iCs/>
          <w:sz w:val="28"/>
          <w:szCs w:val="28"/>
          <w:vertAlign w:val="superscript"/>
        </w:rPr>
        <w:footnoteReference w:id="9"/>
      </w:r>
      <w:r w:rsidRPr="00B46F60">
        <w:rPr>
          <w:rFonts w:ascii="Times New Roman" w:eastAsia="Calibri" w:hAnsi="Times New Roman" w:cs="Times New Roman"/>
          <w:bCs/>
          <w:iCs/>
          <w:sz w:val="28"/>
          <w:szCs w:val="28"/>
        </w:rPr>
        <w:t xml:space="preserve">. У відгуку офіційного опонента на вказану дисертацію я свого часу зауважив, що її автор цей красномовний факт жодним чином не пояснив. Однак це варто було зробити в аспекті висвітлення проблеми соціальної обумовленості досліджуваної кримінально-правової заборони і визначення її перспектив у системі засобів захисту належного функціонування ринкової економіки. </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6. Вкажу і на деякі інші прогалини, пов’язані з опрацюванням джерельної бази, що стосується обраної теми.</w:t>
      </w:r>
    </w:p>
    <w:p w:rsidR="00B46F60" w:rsidRPr="00B46F60" w:rsidRDefault="00B46F60" w:rsidP="00B46F60">
      <w:pPr>
        <w:spacing w:after="0" w:line="360" w:lineRule="auto"/>
        <w:ind w:firstLine="567"/>
        <w:jc w:val="both"/>
        <w:rPr>
          <w:rFonts w:ascii="Times New Roman" w:eastAsia="Calibri" w:hAnsi="Times New Roman" w:cs="Times New Roman"/>
          <w:bCs/>
          <w:iCs/>
          <w:sz w:val="28"/>
          <w:szCs w:val="28"/>
        </w:rPr>
      </w:pPr>
      <w:r w:rsidRPr="00B46F60">
        <w:rPr>
          <w:rFonts w:ascii="Times New Roman" w:eastAsia="Calibri" w:hAnsi="Times New Roman" w:cs="Times New Roman"/>
          <w:bCs/>
          <w:iCs/>
          <w:sz w:val="28"/>
          <w:szCs w:val="28"/>
        </w:rPr>
        <w:t xml:space="preserve">Так, поза увагою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залишились щонайменше дві роботи монографічного рівня, безпосередньо присвячені кримінально-правовим аспектам банківської злочинності. Маю на увазі кандидатські дисертації </w:t>
      </w:r>
      <w:proofErr w:type="spellStart"/>
      <w:r w:rsidRPr="00B46F60">
        <w:rPr>
          <w:rFonts w:ascii="Times New Roman" w:eastAsia="Calibri" w:hAnsi="Times New Roman" w:cs="Times New Roman"/>
          <w:bCs/>
          <w:iCs/>
          <w:sz w:val="28"/>
          <w:szCs w:val="28"/>
        </w:rPr>
        <w:t>Н.В. Шаргород</w:t>
      </w:r>
      <w:proofErr w:type="spellEnd"/>
      <w:r w:rsidRPr="00B46F60">
        <w:rPr>
          <w:rFonts w:ascii="Times New Roman" w:eastAsia="Calibri" w:hAnsi="Times New Roman" w:cs="Times New Roman"/>
          <w:bCs/>
          <w:iCs/>
          <w:sz w:val="28"/>
          <w:szCs w:val="28"/>
        </w:rPr>
        <w:t>ської та Ю.В. Ключик</w:t>
      </w:r>
      <w:r w:rsidRPr="00B46F60">
        <w:rPr>
          <w:rFonts w:ascii="Times New Roman" w:eastAsia="Calibri" w:hAnsi="Times New Roman" w:cs="Times New Roman"/>
          <w:bCs/>
          <w:iCs/>
          <w:sz w:val="28"/>
          <w:szCs w:val="28"/>
          <w:vertAlign w:val="superscript"/>
        </w:rPr>
        <w:footnoteReference w:id="10"/>
      </w:r>
      <w:r w:rsidRPr="00B46F60">
        <w:rPr>
          <w:rFonts w:ascii="Times New Roman" w:eastAsia="Calibri" w:hAnsi="Times New Roman" w:cs="Times New Roman"/>
          <w:bCs/>
          <w:iCs/>
          <w:sz w:val="28"/>
          <w:szCs w:val="28"/>
        </w:rPr>
        <w:t xml:space="preserve">. До речі, у </w:t>
      </w:r>
      <w:r w:rsidRPr="00B46F60">
        <w:rPr>
          <w:rFonts w:ascii="Times New Roman" w:eastAsia="Calibri" w:hAnsi="Times New Roman" w:cs="Times New Roman"/>
          <w:bCs/>
          <w:sz w:val="28"/>
          <w:szCs w:val="28"/>
        </w:rPr>
        <w:t xml:space="preserve">першій із згаданих кваліфікаційних робіт містяться співзвучні викладеним у дисертації </w:t>
      </w:r>
      <w:proofErr w:type="spellStart"/>
      <w:r w:rsidRPr="00B46F60">
        <w:rPr>
          <w:rFonts w:ascii="Times New Roman" w:eastAsia="Calibri" w:hAnsi="Times New Roman" w:cs="Times New Roman"/>
          <w:bCs/>
          <w:sz w:val="28"/>
          <w:szCs w:val="28"/>
        </w:rPr>
        <w:t>А.М. К</w:t>
      </w:r>
      <w:proofErr w:type="spellEnd"/>
      <w:r w:rsidRPr="00B46F60">
        <w:rPr>
          <w:rFonts w:ascii="Times New Roman" w:eastAsia="Calibri" w:hAnsi="Times New Roman" w:cs="Times New Roman"/>
          <w:bCs/>
          <w:sz w:val="28"/>
          <w:szCs w:val="28"/>
        </w:rPr>
        <w:t xml:space="preserve">лочко положення, фахова оцінка яких була б у цьому разі вельми доречною, а саме: </w:t>
      </w:r>
      <w:r w:rsidRPr="00B46F60">
        <w:rPr>
          <w:rFonts w:ascii="Times New Roman" w:eastAsia="Calibri" w:hAnsi="Times New Roman" w:cs="Times New Roman"/>
          <w:bCs/>
          <w:iCs/>
          <w:sz w:val="28"/>
          <w:szCs w:val="28"/>
        </w:rPr>
        <w:t>визначено банківську систему як окремий видовий об’єкт кримінально-правової охорони;</w:t>
      </w:r>
      <w:r w:rsidRPr="00B46F60">
        <w:rPr>
          <w:rFonts w:ascii="Times New Roman" w:eastAsia="Calibri" w:hAnsi="Times New Roman" w:cs="Times New Roman"/>
          <w:bCs/>
          <w:sz w:val="28"/>
          <w:szCs w:val="28"/>
        </w:rPr>
        <w:t xml:space="preserve"> </w:t>
      </w:r>
      <w:r w:rsidRPr="00B46F60">
        <w:rPr>
          <w:rFonts w:ascii="Times New Roman" w:eastAsia="Calibri" w:hAnsi="Times New Roman" w:cs="Times New Roman"/>
          <w:bCs/>
          <w:iCs/>
          <w:sz w:val="28"/>
          <w:szCs w:val="28"/>
        </w:rPr>
        <w:t>обґрунтовано необхідність виділення серед злочинів у сфері господарської діяльності окремої класифікаційної групи – злочинів у банківській системі;</w:t>
      </w:r>
      <w:r w:rsidRPr="00B46F60">
        <w:rPr>
          <w:rFonts w:ascii="Times New Roman" w:eastAsia="Calibri" w:hAnsi="Times New Roman" w:cs="Times New Roman"/>
          <w:bCs/>
          <w:sz w:val="28"/>
          <w:szCs w:val="28"/>
        </w:rPr>
        <w:t xml:space="preserve"> </w:t>
      </w:r>
      <w:r w:rsidRPr="00B46F60">
        <w:rPr>
          <w:rFonts w:ascii="Times New Roman" w:eastAsia="Calibri" w:hAnsi="Times New Roman" w:cs="Times New Roman"/>
          <w:bCs/>
          <w:iCs/>
          <w:sz w:val="28"/>
          <w:szCs w:val="28"/>
        </w:rPr>
        <w:t>сформульовано поняття таких злочинів та їхні ознаки.</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При визначенні перспектив кримінально-правових норм про відповідальність за порушення порядку поводження з банківською таємницею бажано було звернутись до «наскрізної» дисертації Т.Ю. Вислоцької</w:t>
      </w:r>
      <w:r w:rsidRPr="00B46F60">
        <w:rPr>
          <w:rFonts w:ascii="Times New Roman" w:eastAsia="Calibri" w:hAnsi="Times New Roman" w:cs="Times New Roman"/>
          <w:bCs/>
          <w:sz w:val="28"/>
          <w:szCs w:val="28"/>
          <w:vertAlign w:val="superscript"/>
        </w:rPr>
        <w:footnoteReference w:id="11"/>
      </w:r>
      <w:r w:rsidRPr="00B46F60">
        <w:rPr>
          <w:rFonts w:ascii="Times New Roman" w:eastAsia="Calibri" w:hAnsi="Times New Roman" w:cs="Times New Roman"/>
          <w:bCs/>
          <w:sz w:val="28"/>
          <w:szCs w:val="28"/>
        </w:rPr>
        <w:t xml:space="preserve">. </w:t>
      </w:r>
      <w:r w:rsidRPr="00B46F60">
        <w:rPr>
          <w:rFonts w:ascii="Times New Roman" w:eastAsia="Calibri" w:hAnsi="Times New Roman" w:cs="Times New Roman"/>
          <w:sz w:val="28"/>
          <w:szCs w:val="28"/>
        </w:rPr>
        <w:t xml:space="preserve">До речі, виступаючи за виокремлення кримінально-протиправних дій із банківською таємницею від подібних дій із комерційною таємницею, А.М. </w:t>
      </w:r>
      <w:proofErr w:type="spellStart"/>
      <w:r w:rsidRPr="00B46F60">
        <w:rPr>
          <w:rFonts w:ascii="Times New Roman" w:eastAsia="Calibri" w:hAnsi="Times New Roman" w:cs="Times New Roman"/>
          <w:sz w:val="28"/>
          <w:szCs w:val="28"/>
        </w:rPr>
        <w:t>Клочко</w:t>
      </w:r>
      <w:proofErr w:type="spellEnd"/>
      <w:r w:rsidRPr="00B46F60">
        <w:rPr>
          <w:rFonts w:ascii="Times New Roman" w:eastAsia="Calibri" w:hAnsi="Times New Roman" w:cs="Times New Roman"/>
          <w:sz w:val="28"/>
          <w:szCs w:val="28"/>
        </w:rPr>
        <w:t xml:space="preserve"> не згадала того, що свого </w:t>
      </w:r>
      <w:r w:rsidRPr="00B46F60">
        <w:rPr>
          <w:rFonts w:ascii="Times New Roman" w:eastAsia="Calibri" w:hAnsi="Times New Roman" w:cs="Times New Roman"/>
          <w:sz w:val="28"/>
          <w:szCs w:val="28"/>
        </w:rPr>
        <w:lastRenderedPageBreak/>
        <w:t>часу подібну ідею висунув та обґрунтував В.Б. Харченко. Цей науковець писав: «Комерційна таємниця є відокремленим видом конфіденційної інформації, що віднесена до об’єктів права інтелектуальної власності, і як такий об’єкт виступає предметом злочину у сфері інтелектуальної власності, що виключає її кримінально-правовий захист однією нормою із банківською таємницею, яка не є і не може бути об’єктом наведених відносин»</w:t>
      </w:r>
      <w:r w:rsidRPr="00B46F60">
        <w:rPr>
          <w:rFonts w:ascii="Times New Roman" w:eastAsia="Calibri" w:hAnsi="Times New Roman" w:cs="Times New Roman"/>
          <w:sz w:val="28"/>
          <w:szCs w:val="28"/>
          <w:vertAlign w:val="superscript"/>
        </w:rPr>
        <w:footnoteReference w:id="12"/>
      </w:r>
      <w:r w:rsidRPr="00B46F60">
        <w:rPr>
          <w:rFonts w:ascii="Times New Roman" w:eastAsia="Calibri" w:hAnsi="Times New Roman" w:cs="Times New Roman"/>
          <w:sz w:val="28"/>
          <w:szCs w:val="28"/>
        </w:rPr>
        <w:t>.</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sz w:val="28"/>
          <w:szCs w:val="28"/>
        </w:rPr>
        <w:t>Здобувачка посилається на «</w:t>
      </w:r>
      <w:r w:rsidRPr="00B46F60">
        <w:rPr>
          <w:rFonts w:ascii="Times New Roman" w:eastAsia="Calibri" w:hAnsi="Times New Roman" w:cs="Times New Roman"/>
          <w:bCs/>
          <w:sz w:val="28"/>
          <w:szCs w:val="28"/>
        </w:rPr>
        <w:t xml:space="preserve">Науково-практичний коментар Кримінального кодексу України» (за ред. М. І. Мельника, М. І. Хавронюка. 3-тє вид., перероб. та </w:t>
      </w:r>
      <w:proofErr w:type="spellStart"/>
      <w:r w:rsidRPr="00B46F60">
        <w:rPr>
          <w:rFonts w:ascii="Times New Roman" w:eastAsia="Calibri" w:hAnsi="Times New Roman" w:cs="Times New Roman"/>
          <w:bCs/>
          <w:sz w:val="28"/>
          <w:szCs w:val="28"/>
        </w:rPr>
        <w:t>допов</w:t>
      </w:r>
      <w:proofErr w:type="spellEnd"/>
      <w:r w:rsidRPr="00B46F60">
        <w:rPr>
          <w:rFonts w:ascii="Times New Roman" w:eastAsia="Calibri" w:hAnsi="Times New Roman" w:cs="Times New Roman"/>
          <w:bCs/>
          <w:sz w:val="28"/>
          <w:szCs w:val="28"/>
        </w:rPr>
        <w:t xml:space="preserve">. Київ: </w:t>
      </w:r>
      <w:proofErr w:type="spellStart"/>
      <w:r w:rsidRPr="00B46F60">
        <w:rPr>
          <w:rFonts w:ascii="Times New Roman" w:eastAsia="Calibri" w:hAnsi="Times New Roman" w:cs="Times New Roman"/>
          <w:bCs/>
          <w:sz w:val="28"/>
          <w:szCs w:val="28"/>
        </w:rPr>
        <w:t>Атіка</w:t>
      </w:r>
      <w:proofErr w:type="spellEnd"/>
      <w:r w:rsidRPr="00B46F60">
        <w:rPr>
          <w:rFonts w:ascii="Times New Roman" w:eastAsia="Calibri" w:hAnsi="Times New Roman" w:cs="Times New Roman"/>
          <w:bCs/>
          <w:sz w:val="28"/>
          <w:szCs w:val="28"/>
        </w:rPr>
        <w:t>, 2003. 1056 с.) (номер 372 у списку використаних джерел), однак у контексті розкриття обраної теми варто було критично оцінити відповідні положення чергового перевидання цієї книги</w:t>
      </w:r>
      <w:r w:rsidRPr="00B46F60">
        <w:rPr>
          <w:rFonts w:ascii="Times New Roman" w:eastAsia="Calibri" w:hAnsi="Times New Roman" w:cs="Times New Roman"/>
          <w:bCs/>
          <w:sz w:val="28"/>
          <w:szCs w:val="28"/>
          <w:vertAlign w:val="superscript"/>
        </w:rPr>
        <w:footnoteReference w:id="13"/>
      </w:r>
      <w:r w:rsidRPr="00B46F60">
        <w:rPr>
          <w:rFonts w:ascii="Times New Roman" w:eastAsia="Calibri" w:hAnsi="Times New Roman" w:cs="Times New Roman"/>
          <w:bCs/>
          <w:sz w:val="28"/>
          <w:szCs w:val="28"/>
        </w:rPr>
        <w:t>.</w:t>
      </w:r>
      <w:r w:rsidRPr="00B46F60">
        <w:rPr>
          <w:rFonts w:ascii="Times New Roman" w:eastAsia="Calibri" w:hAnsi="Times New Roman" w:cs="Times New Roman"/>
          <w:sz w:val="28"/>
          <w:szCs w:val="28"/>
        </w:rPr>
        <w:t xml:space="preserve"> </w:t>
      </w:r>
      <w:r w:rsidRPr="00B46F60">
        <w:rPr>
          <w:rFonts w:ascii="Times New Roman" w:eastAsia="Calibri" w:hAnsi="Times New Roman" w:cs="Times New Roman"/>
          <w:bCs/>
          <w:sz w:val="28"/>
          <w:szCs w:val="28"/>
        </w:rPr>
        <w:t xml:space="preserve">Адже саме у ньому наведені коментарі автора цих рядків до нових кримінально-правових заборон, безпосередньо присвячених злочинам у сфері банківської діяльності, зокрема до: ст. 218-1 «Доведення банку до неплатоспроможності»; </w:t>
      </w:r>
      <w:r w:rsidRPr="00B46F60">
        <w:rPr>
          <w:rFonts w:ascii="Times New Roman" w:eastAsia="Calibri" w:hAnsi="Times New Roman" w:cs="Times New Roman"/>
          <w:sz w:val="28"/>
          <w:szCs w:val="28"/>
        </w:rPr>
        <w:t xml:space="preserve">ст. 220-1 </w:t>
      </w:r>
      <w:r w:rsidRPr="00B46F60">
        <w:rPr>
          <w:rFonts w:ascii="Times New Roman" w:eastAsia="Calibri" w:hAnsi="Times New Roman" w:cs="Times New Roman"/>
          <w:bCs/>
          <w:sz w:val="28"/>
          <w:szCs w:val="28"/>
        </w:rPr>
        <w:t xml:space="preserve">«Порушення порядку ведення бази даних про вкладників або порядку формування звітності»; ст. 220-2 «Фальсифікація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 </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Оскільки авторка в аспекті висвітлення шляхів протидії злочинам у сфері банківської діяльності торкається і проблематики застосування заходів кримінально-правового характеру щодо юридичних осіб, зазначу, що в Україні, крім праці, належної перу В.К. Грищука та О.Ф. </w:t>
      </w:r>
      <w:proofErr w:type="spellStart"/>
      <w:r w:rsidRPr="00B46F60">
        <w:rPr>
          <w:rFonts w:ascii="Times New Roman" w:eastAsia="Calibri" w:hAnsi="Times New Roman" w:cs="Times New Roman"/>
          <w:bCs/>
          <w:sz w:val="28"/>
          <w:szCs w:val="28"/>
        </w:rPr>
        <w:t>Пасєці</w:t>
      </w:r>
      <w:proofErr w:type="spellEnd"/>
      <w:r w:rsidRPr="00B46F60">
        <w:rPr>
          <w:rFonts w:ascii="Times New Roman" w:eastAsia="Calibri" w:hAnsi="Times New Roman" w:cs="Times New Roman"/>
          <w:bCs/>
          <w:sz w:val="28"/>
          <w:szCs w:val="28"/>
        </w:rPr>
        <w:t xml:space="preserve"> (номер 74 у списку використаних джерел), видано ще декілька монографічних робіт із цієї проблематики</w:t>
      </w:r>
      <w:r w:rsidRPr="00B46F60">
        <w:rPr>
          <w:rFonts w:ascii="Times New Roman" w:eastAsia="Calibri" w:hAnsi="Times New Roman" w:cs="Times New Roman"/>
          <w:bCs/>
          <w:sz w:val="28"/>
          <w:szCs w:val="28"/>
          <w:vertAlign w:val="superscript"/>
        </w:rPr>
        <w:footnoteReference w:id="14"/>
      </w:r>
      <w:r w:rsidRPr="00B46F60">
        <w:rPr>
          <w:rFonts w:ascii="Times New Roman" w:eastAsia="Calibri" w:hAnsi="Times New Roman" w:cs="Times New Roman"/>
          <w:bCs/>
          <w:sz w:val="28"/>
          <w:szCs w:val="28"/>
        </w:rPr>
        <w:t xml:space="preserve">, відсутність звернення до яких змушує вкотре вести мову про недостатню уваги пані </w:t>
      </w:r>
      <w:proofErr w:type="spellStart"/>
      <w:r w:rsidRPr="00B46F60">
        <w:rPr>
          <w:rFonts w:ascii="Times New Roman" w:eastAsia="Calibri" w:hAnsi="Times New Roman" w:cs="Times New Roman"/>
          <w:bCs/>
          <w:sz w:val="28"/>
          <w:szCs w:val="28"/>
        </w:rPr>
        <w:t>Альони</w:t>
      </w:r>
      <w:proofErr w:type="spellEnd"/>
      <w:r w:rsidRPr="00B46F60">
        <w:rPr>
          <w:rFonts w:ascii="Times New Roman" w:eastAsia="Calibri" w:hAnsi="Times New Roman" w:cs="Times New Roman"/>
          <w:bCs/>
          <w:sz w:val="28"/>
          <w:szCs w:val="28"/>
        </w:rPr>
        <w:t xml:space="preserve"> до здобутків попередників.</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sz w:val="28"/>
          <w:szCs w:val="28"/>
        </w:rPr>
        <w:lastRenderedPageBreak/>
        <w:t>Аналізуючи шахрайство з використанням електронних засобів платежу або платіжних пристроїв (с. 344</w:t>
      </w:r>
      <w:r w:rsidRPr="00B46F60">
        <w:rPr>
          <w:rFonts w:ascii="Times New Roman" w:eastAsia="Calibri" w:hAnsi="Times New Roman" w:cs="Times New Roman"/>
          <w:bCs/>
          <w:iCs/>
          <w:sz w:val="28"/>
          <w:szCs w:val="28"/>
        </w:rPr>
        <w:t>–</w:t>
      </w:r>
      <w:r w:rsidRPr="00B46F60">
        <w:rPr>
          <w:rFonts w:ascii="Times New Roman" w:eastAsia="Calibri" w:hAnsi="Times New Roman" w:cs="Times New Roman"/>
          <w:sz w:val="28"/>
          <w:szCs w:val="28"/>
        </w:rPr>
        <w:t>350), здобувачка не звертається до коментаря до ст. 190 КК України</w:t>
      </w:r>
      <w:r w:rsidRPr="00B46F60">
        <w:rPr>
          <w:rFonts w:ascii="Times New Roman" w:eastAsia="Calibri" w:hAnsi="Times New Roman" w:cs="Times New Roman"/>
          <w:sz w:val="28"/>
          <w:szCs w:val="28"/>
          <w:vertAlign w:val="superscript"/>
        </w:rPr>
        <w:footnoteReference w:id="15"/>
      </w:r>
      <w:r w:rsidRPr="00B46F60">
        <w:rPr>
          <w:rFonts w:ascii="Times New Roman" w:eastAsia="Calibri" w:hAnsi="Times New Roman" w:cs="Times New Roman"/>
          <w:sz w:val="28"/>
          <w:szCs w:val="28"/>
        </w:rPr>
        <w:t>, в якому на достатньо фаховому, як на мене, рівні розкриваються особливості кримінально-правової характеристики ша</w:t>
      </w:r>
      <w:r w:rsidRPr="00B46F60">
        <w:rPr>
          <w:rFonts w:ascii="Times New Roman" w:eastAsia="Calibri" w:hAnsi="Times New Roman" w:cs="Times New Roman"/>
          <w:bCs/>
          <w:iCs/>
          <w:sz w:val="28"/>
          <w:szCs w:val="28"/>
        </w:rPr>
        <w:t>храйства, вчиненого шляхом незаконних операцій з використанням електронно-обчислювальної техніки.</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sz w:val="28"/>
          <w:szCs w:val="28"/>
        </w:rPr>
        <w:t xml:space="preserve">Принагідно зауважу і те, що замість заявленого у назві підрозділу 1.1 з’ясування </w:t>
      </w:r>
      <w:bookmarkStart w:id="1" w:name="_Hlk40181254"/>
      <w:r w:rsidRPr="00B46F60">
        <w:rPr>
          <w:rFonts w:ascii="Times New Roman" w:eastAsia="Calibri" w:hAnsi="Times New Roman" w:cs="Times New Roman"/>
          <w:sz w:val="28"/>
          <w:szCs w:val="28"/>
        </w:rPr>
        <w:t>стану дослідження в науці проблеми кримінально-правової охорони сфери банківської діяльності в Україні</w:t>
      </w:r>
      <w:bookmarkEnd w:id="1"/>
      <w:r w:rsidRPr="00B46F60">
        <w:rPr>
          <w:rFonts w:ascii="Times New Roman" w:eastAsia="Calibri" w:hAnsi="Times New Roman" w:cs="Times New Roman"/>
          <w:sz w:val="28"/>
          <w:szCs w:val="28"/>
        </w:rPr>
        <w:t xml:space="preserve"> у цій структурній частині дисертації розкриваються особливості методології проведеного дослідження.</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sz w:val="28"/>
          <w:szCs w:val="28"/>
        </w:rPr>
        <w:t xml:space="preserve">Зроблені зауваження і побажання у переважній більшості стосуються дискусійних питань, не впливають на належний науковий рівень дисертації, </w:t>
      </w:r>
      <w:r w:rsidRPr="00B46F60">
        <w:rPr>
          <w:rFonts w:ascii="Times New Roman" w:eastAsia="Calibri" w:hAnsi="Times New Roman" w:cs="Times New Roman"/>
          <w:bCs/>
          <w:sz w:val="28"/>
          <w:szCs w:val="28"/>
        </w:rPr>
        <w:t>не піддають сумніву основні наукові результати, отримані здобувачкою</w:t>
      </w:r>
      <w:r w:rsidRPr="00B46F60">
        <w:rPr>
          <w:rFonts w:ascii="Times New Roman" w:eastAsia="Calibri" w:hAnsi="Times New Roman" w:cs="Times New Roman"/>
          <w:bCs/>
          <w:iCs/>
          <w:sz w:val="28"/>
          <w:szCs w:val="28"/>
        </w:rPr>
        <w:t xml:space="preserve">, і лише підтверджують складність і злободенність досліджуваної А.М. </w:t>
      </w:r>
      <w:proofErr w:type="spellStart"/>
      <w:r w:rsidRPr="00B46F60">
        <w:rPr>
          <w:rFonts w:ascii="Times New Roman" w:eastAsia="Calibri" w:hAnsi="Times New Roman" w:cs="Times New Roman"/>
          <w:bCs/>
          <w:iCs/>
          <w:sz w:val="28"/>
          <w:szCs w:val="28"/>
        </w:rPr>
        <w:t>Клочко</w:t>
      </w:r>
      <w:proofErr w:type="spellEnd"/>
      <w:r w:rsidRPr="00B46F60">
        <w:rPr>
          <w:rFonts w:ascii="Times New Roman" w:eastAsia="Calibri" w:hAnsi="Times New Roman" w:cs="Times New Roman"/>
          <w:bCs/>
          <w:iCs/>
          <w:sz w:val="28"/>
          <w:szCs w:val="28"/>
        </w:rPr>
        <w:t xml:space="preserve"> проблематики.</w:t>
      </w:r>
    </w:p>
    <w:p w:rsidR="00B46F60" w:rsidRPr="00B46F60" w:rsidRDefault="00B46F60" w:rsidP="00B46F60">
      <w:pPr>
        <w:spacing w:after="0" w:line="360" w:lineRule="auto"/>
        <w:ind w:firstLine="567"/>
        <w:jc w:val="both"/>
        <w:rPr>
          <w:rFonts w:ascii="Times New Roman" w:eastAsia="Calibri" w:hAnsi="Times New Roman" w:cs="Times New Roman"/>
          <w:bCs/>
          <w:sz w:val="28"/>
          <w:szCs w:val="28"/>
        </w:rPr>
      </w:pPr>
      <w:r w:rsidRPr="00B46F60">
        <w:rPr>
          <w:rFonts w:ascii="Times New Roman" w:eastAsia="Calibri" w:hAnsi="Times New Roman" w:cs="Times New Roman"/>
          <w:bCs/>
          <w:sz w:val="28"/>
          <w:szCs w:val="28"/>
        </w:rPr>
        <w:t xml:space="preserve">Положення, висновки і рекомендації, сформульовані у дисертації, відображено у 68 публікаціях, серед яких: 1 індивідуальна монографія; розділи в 3 колективних монографіях; 17 статей, опублікованих у фахових наукових виданнях України; 14 статей, опублікованих в іноземних виданнях, 12 з яких індексуються </w:t>
      </w:r>
      <w:proofErr w:type="spellStart"/>
      <w:r w:rsidRPr="00B46F60">
        <w:rPr>
          <w:rFonts w:ascii="Times New Roman" w:eastAsia="Calibri" w:hAnsi="Times New Roman" w:cs="Times New Roman"/>
          <w:bCs/>
          <w:sz w:val="28"/>
          <w:szCs w:val="28"/>
        </w:rPr>
        <w:t>наукометричною</w:t>
      </w:r>
      <w:proofErr w:type="spellEnd"/>
      <w:r w:rsidRPr="00B46F60">
        <w:rPr>
          <w:rFonts w:ascii="Times New Roman" w:eastAsia="Calibri" w:hAnsi="Times New Roman" w:cs="Times New Roman"/>
          <w:bCs/>
          <w:sz w:val="28"/>
          <w:szCs w:val="28"/>
        </w:rPr>
        <w:t xml:space="preserve"> базою </w:t>
      </w:r>
      <w:proofErr w:type="spellStart"/>
      <w:r w:rsidRPr="00B46F60">
        <w:rPr>
          <w:rFonts w:ascii="Times New Roman" w:eastAsia="Calibri" w:hAnsi="Times New Roman" w:cs="Times New Roman"/>
          <w:bCs/>
          <w:sz w:val="28"/>
          <w:szCs w:val="28"/>
        </w:rPr>
        <w:t>Scopus</w:t>
      </w:r>
      <w:proofErr w:type="spellEnd"/>
      <w:r w:rsidRPr="00B46F60">
        <w:rPr>
          <w:rFonts w:ascii="Times New Roman" w:eastAsia="Calibri" w:hAnsi="Times New Roman" w:cs="Times New Roman"/>
          <w:bCs/>
          <w:sz w:val="28"/>
          <w:szCs w:val="28"/>
        </w:rPr>
        <w:t>; 28 тез наукових доповідей; 5 публікацій, які додатково відображають наукові результати дисертації.</w:t>
      </w:r>
    </w:p>
    <w:p w:rsidR="00B46F60" w:rsidRPr="00B46F60" w:rsidRDefault="00B46F60" w:rsidP="00B46F60">
      <w:pPr>
        <w:spacing w:after="0" w:line="360" w:lineRule="auto"/>
        <w:ind w:firstLine="567"/>
        <w:jc w:val="both"/>
        <w:rPr>
          <w:rFonts w:ascii="Times New Roman" w:eastAsia="Calibri" w:hAnsi="Times New Roman" w:cs="Times New Roman"/>
          <w:sz w:val="28"/>
          <w:szCs w:val="28"/>
        </w:rPr>
      </w:pPr>
      <w:r w:rsidRPr="00B46F60">
        <w:rPr>
          <w:rFonts w:ascii="Times New Roman" w:eastAsia="Calibri" w:hAnsi="Times New Roman" w:cs="Times New Roman"/>
          <w:sz w:val="28"/>
          <w:szCs w:val="28"/>
        </w:rPr>
        <w:t>Автореферат дисертації відображає зміст основних положень дисертації.</w:t>
      </w:r>
    </w:p>
    <w:p w:rsidR="00B46F60" w:rsidRDefault="00B46F60" w:rsidP="00B46F60">
      <w:pPr>
        <w:spacing w:after="0" w:line="360" w:lineRule="auto"/>
        <w:ind w:firstLine="567"/>
        <w:jc w:val="both"/>
        <w:rPr>
          <w:rFonts w:ascii="Times New Roman" w:eastAsia="Calibri" w:hAnsi="Times New Roman" w:cs="Times New Roman"/>
          <w:iCs/>
          <w:sz w:val="28"/>
          <w:szCs w:val="28"/>
        </w:rPr>
      </w:pPr>
      <w:r w:rsidRPr="00B46F60">
        <w:rPr>
          <w:rFonts w:ascii="Times New Roman" w:eastAsia="Calibri" w:hAnsi="Times New Roman" w:cs="Times New Roman"/>
          <w:iCs/>
          <w:sz w:val="28"/>
          <w:szCs w:val="28"/>
        </w:rPr>
        <w:t xml:space="preserve">Отже, за актуальністю, ступенем новизни, обґрунтованістю і достовірністю, науковою і практичною значущістю отриманих результатів, повнотою їх викладення в опублікованих дисертантом наукових працях, а також за оформленням дисертація відповідає вимогам, які встановлені в пунктах 9, 10 Порядку </w:t>
      </w:r>
      <w:r>
        <w:rPr>
          <w:rFonts w:ascii="Times New Roman" w:eastAsia="Calibri" w:hAnsi="Times New Roman" w:cs="Times New Roman"/>
          <w:iCs/>
          <w:sz w:val="28"/>
          <w:szCs w:val="28"/>
        </w:rPr>
        <w:t xml:space="preserve">  </w:t>
      </w:r>
      <w:r w:rsidRPr="00B46F60">
        <w:rPr>
          <w:rFonts w:ascii="Times New Roman" w:eastAsia="Calibri" w:hAnsi="Times New Roman" w:cs="Times New Roman"/>
          <w:iCs/>
          <w:sz w:val="28"/>
          <w:szCs w:val="28"/>
        </w:rPr>
        <w:t xml:space="preserve">присудження </w:t>
      </w:r>
      <w:r>
        <w:rPr>
          <w:rFonts w:ascii="Times New Roman" w:eastAsia="Calibri" w:hAnsi="Times New Roman" w:cs="Times New Roman"/>
          <w:iCs/>
          <w:sz w:val="28"/>
          <w:szCs w:val="28"/>
        </w:rPr>
        <w:t xml:space="preserve">  </w:t>
      </w:r>
      <w:r w:rsidRPr="00B46F60">
        <w:rPr>
          <w:rFonts w:ascii="Times New Roman" w:eastAsia="Calibri" w:hAnsi="Times New Roman" w:cs="Times New Roman"/>
          <w:iCs/>
          <w:sz w:val="28"/>
          <w:szCs w:val="28"/>
        </w:rPr>
        <w:t xml:space="preserve">наукових ступенів, </w:t>
      </w:r>
      <w:r>
        <w:rPr>
          <w:rFonts w:ascii="Times New Roman" w:eastAsia="Calibri" w:hAnsi="Times New Roman" w:cs="Times New Roman"/>
          <w:iCs/>
          <w:sz w:val="28"/>
          <w:szCs w:val="28"/>
        </w:rPr>
        <w:t xml:space="preserve">  </w:t>
      </w:r>
      <w:r w:rsidRPr="00B46F60">
        <w:rPr>
          <w:rFonts w:ascii="Times New Roman" w:eastAsia="Calibri" w:hAnsi="Times New Roman" w:cs="Times New Roman"/>
          <w:iCs/>
          <w:sz w:val="28"/>
          <w:szCs w:val="28"/>
        </w:rPr>
        <w:t xml:space="preserve">затвердженого </w:t>
      </w:r>
      <w:bookmarkStart w:id="2" w:name="_GoBack"/>
      <w:bookmarkEnd w:id="2"/>
      <w:r w:rsidRPr="00B46F60">
        <w:rPr>
          <w:rFonts w:ascii="Times New Roman" w:eastAsia="Calibri" w:hAnsi="Times New Roman" w:cs="Times New Roman"/>
          <w:iCs/>
          <w:sz w:val="28"/>
          <w:szCs w:val="28"/>
        </w:rPr>
        <w:t xml:space="preserve">постановою </w:t>
      </w:r>
      <w:r>
        <w:rPr>
          <w:rFonts w:ascii="Times New Roman" w:eastAsia="Calibri" w:hAnsi="Times New Roman" w:cs="Times New Roman"/>
          <w:iCs/>
          <w:sz w:val="28"/>
          <w:szCs w:val="28"/>
        </w:rPr>
        <w:t xml:space="preserve">  </w:t>
      </w:r>
      <w:r w:rsidRPr="00B46F60">
        <w:rPr>
          <w:rFonts w:ascii="Times New Roman" w:eastAsia="Calibri" w:hAnsi="Times New Roman" w:cs="Times New Roman"/>
          <w:iCs/>
          <w:sz w:val="28"/>
          <w:szCs w:val="28"/>
        </w:rPr>
        <w:t>Кабінету</w:t>
      </w:r>
    </w:p>
    <w:p w:rsidR="00B46F60" w:rsidRDefault="00B46F60">
      <w:pPr>
        <w:rPr>
          <w:rFonts w:ascii="Times New Roman" w:eastAsia="Calibri" w:hAnsi="Times New Roman" w:cs="Times New Roman"/>
          <w:iCs/>
          <w:sz w:val="28"/>
          <w:szCs w:val="28"/>
        </w:rPr>
      </w:pPr>
      <w:r>
        <w:rPr>
          <w:rFonts w:ascii="Times New Roman" w:eastAsia="Calibri" w:hAnsi="Times New Roman" w:cs="Times New Roman"/>
          <w:iCs/>
          <w:sz w:val="28"/>
          <w:szCs w:val="28"/>
        </w:rPr>
        <w:br w:type="page"/>
      </w:r>
    </w:p>
    <w:p w:rsidR="00E052A4" w:rsidRDefault="00B46F60" w:rsidP="00B46F60">
      <w:pPr>
        <w:spacing w:after="0" w:line="360" w:lineRule="auto"/>
        <w:ind w:firstLine="567"/>
        <w:jc w:val="both"/>
      </w:pPr>
      <w:r>
        <w:rPr>
          <w:rFonts w:ascii="Times New Roman" w:eastAsia="Calibri" w:hAnsi="Times New Roman" w:cs="Times New Roman"/>
          <w:iCs/>
          <w:noProof/>
          <w:sz w:val="28"/>
          <w:szCs w:val="28"/>
          <w:lang w:eastAsia="uk-UA"/>
        </w:rPr>
        <w:lastRenderedPageBreak/>
        <w:drawing>
          <wp:inline distT="0" distB="0" distL="0" distR="0">
            <wp:extent cx="6408420" cy="9147007"/>
            <wp:effectExtent l="0" t="0" r="0" b="0"/>
            <wp:docPr id="1" name="Рисунок 1" descr="D:\WT\08 Клочко дис БАНКИ\ЗАХИСТ 23 09 20\Дудоров\Остання сторін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T\08 Клочко дис БАНКИ\ЗАХИСТ 23 09 20\Дудоров\Остання сторінка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8420" cy="9147007"/>
                    </a:xfrm>
                    <a:prstGeom prst="rect">
                      <a:avLst/>
                    </a:prstGeom>
                    <a:noFill/>
                    <a:ln>
                      <a:noFill/>
                    </a:ln>
                  </pic:spPr>
                </pic:pic>
              </a:graphicData>
            </a:graphic>
          </wp:inline>
        </w:drawing>
      </w:r>
    </w:p>
    <w:sectPr w:rsidR="00E052A4" w:rsidSect="0070627E">
      <w:headerReference w:type="even" r:id="rId10"/>
      <w:headerReference w:type="default" r:id="rId11"/>
      <w:footerReference w:type="even" r:id="rId12"/>
      <w:footerReference w:type="default" r:id="rId13"/>
      <w:headerReference w:type="first" r:id="rId14"/>
      <w:footerReference w:type="first" r:id="rId15"/>
      <w:pgSz w:w="11906" w:h="16838"/>
      <w:pgMar w:top="1021" w:right="680" w:bottom="102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31" w:rsidRDefault="00AF2E31" w:rsidP="00B46F60">
      <w:pPr>
        <w:spacing w:after="0" w:line="240" w:lineRule="auto"/>
      </w:pPr>
      <w:r>
        <w:separator/>
      </w:r>
    </w:p>
  </w:endnote>
  <w:endnote w:type="continuationSeparator" w:id="0">
    <w:p w:rsidR="00AF2E31" w:rsidRDefault="00AF2E31" w:rsidP="00B4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E" w:rsidRDefault="00AF2E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E" w:rsidRDefault="00AF2E31">
    <w:pPr>
      <w:pStyle w:val="aa"/>
      <w:jc w:val="right"/>
    </w:pPr>
    <w:r>
      <w:fldChar w:fldCharType="begin"/>
    </w:r>
    <w:r>
      <w:instrText xml:space="preserve"> PAGE   \* MERGEFORMAT </w:instrText>
    </w:r>
    <w:r>
      <w:fldChar w:fldCharType="separate"/>
    </w:r>
    <w:r w:rsidR="00B46F60">
      <w:rPr>
        <w:noProof/>
      </w:rPr>
      <w:t>24</w:t>
    </w:r>
    <w:r>
      <w:fldChar w:fldCharType="end"/>
    </w:r>
  </w:p>
  <w:p w:rsidR="0079201E" w:rsidRDefault="00AF2E3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E" w:rsidRDefault="00AF2E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31" w:rsidRDefault="00AF2E31" w:rsidP="00B46F60">
      <w:pPr>
        <w:spacing w:after="0" w:line="240" w:lineRule="auto"/>
      </w:pPr>
      <w:r>
        <w:separator/>
      </w:r>
    </w:p>
  </w:footnote>
  <w:footnote w:type="continuationSeparator" w:id="0">
    <w:p w:rsidR="00AF2E31" w:rsidRDefault="00AF2E31" w:rsidP="00B46F60">
      <w:pPr>
        <w:spacing w:after="0" w:line="240" w:lineRule="auto"/>
      </w:pPr>
      <w:r>
        <w:continuationSeparator/>
      </w:r>
    </w:p>
  </w:footnote>
  <w:footnote w:id="1">
    <w:p w:rsidR="00B46F60" w:rsidRPr="00A7008B" w:rsidRDefault="00B46F60" w:rsidP="00B46F60">
      <w:pPr>
        <w:pStyle w:val="a3"/>
        <w:ind w:firstLine="567"/>
      </w:pPr>
      <w:r w:rsidRPr="00A7008B">
        <w:rPr>
          <w:rStyle w:val="a7"/>
        </w:rPr>
        <w:footnoteRef/>
      </w:r>
      <w:r w:rsidRPr="00A7008B">
        <w:t xml:space="preserve"> </w:t>
      </w:r>
      <w:proofErr w:type="spellStart"/>
      <w:r w:rsidRPr="00A7008B">
        <w:rPr>
          <w:bCs/>
        </w:rPr>
        <w:t>Водянніков</w:t>
      </w:r>
      <w:proofErr w:type="spellEnd"/>
      <w:r>
        <w:rPr>
          <w:bCs/>
        </w:rPr>
        <w:t xml:space="preserve"> О</w:t>
      </w:r>
      <w:r w:rsidRPr="00A7008B">
        <w:rPr>
          <w:bCs/>
        </w:rPr>
        <w:t xml:space="preserve">. Банківський законопроект, Конституція і справа </w:t>
      </w:r>
      <w:proofErr w:type="spellStart"/>
      <w:r w:rsidRPr="00A7008B">
        <w:rPr>
          <w:bCs/>
        </w:rPr>
        <w:t>Northern</w:t>
      </w:r>
      <w:proofErr w:type="spellEnd"/>
      <w:r w:rsidRPr="00A7008B">
        <w:rPr>
          <w:bCs/>
        </w:rPr>
        <w:t xml:space="preserve"> </w:t>
      </w:r>
      <w:proofErr w:type="spellStart"/>
      <w:r w:rsidRPr="00A7008B">
        <w:rPr>
          <w:bCs/>
        </w:rPr>
        <w:t>Rock</w:t>
      </w:r>
      <w:proofErr w:type="spellEnd"/>
      <w:r w:rsidRPr="00A7008B">
        <w:rPr>
          <w:bCs/>
        </w:rPr>
        <w:t xml:space="preserve"> </w:t>
      </w:r>
      <w:proofErr w:type="spellStart"/>
      <w:r w:rsidRPr="00A7008B">
        <w:rPr>
          <w:bCs/>
        </w:rPr>
        <w:t>Bank</w:t>
      </w:r>
      <w:proofErr w:type="spellEnd"/>
      <w:r w:rsidRPr="00A7008B">
        <w:rPr>
          <w:bCs/>
        </w:rPr>
        <w:t xml:space="preserve">. </w:t>
      </w:r>
      <w:r w:rsidRPr="00A7008B">
        <w:rPr>
          <w:bCs/>
          <w:lang w:val="en-US"/>
        </w:rPr>
        <w:t>URL</w:t>
      </w:r>
      <w:r w:rsidRPr="00A7008B">
        <w:rPr>
          <w:bCs/>
        </w:rPr>
        <w:t>:</w:t>
      </w:r>
      <w:r w:rsidRPr="00A7008B">
        <w:rPr>
          <w:bCs/>
          <w:lang w:val="en-US"/>
        </w:rPr>
        <w:t xml:space="preserve"> https</w:t>
      </w:r>
      <w:r w:rsidRPr="00A7008B">
        <w:rPr>
          <w:bCs/>
        </w:rPr>
        <w:t>://</w:t>
      </w:r>
      <w:proofErr w:type="spellStart"/>
      <w:r w:rsidRPr="00A7008B">
        <w:rPr>
          <w:bCs/>
          <w:lang w:val="en-US"/>
        </w:rPr>
        <w:t>lb</w:t>
      </w:r>
      <w:proofErr w:type="spellEnd"/>
      <w:r w:rsidRPr="00A7008B">
        <w:rPr>
          <w:bCs/>
        </w:rPr>
        <w:t>.</w:t>
      </w:r>
      <w:proofErr w:type="spellStart"/>
      <w:r w:rsidRPr="00A7008B">
        <w:rPr>
          <w:bCs/>
          <w:lang w:val="en-US"/>
        </w:rPr>
        <w:t>ua</w:t>
      </w:r>
      <w:proofErr w:type="spellEnd"/>
      <w:r w:rsidRPr="00A7008B">
        <w:rPr>
          <w:bCs/>
        </w:rPr>
        <w:t>/</w:t>
      </w:r>
      <w:r w:rsidRPr="00A7008B">
        <w:rPr>
          <w:bCs/>
          <w:lang w:val="en-US"/>
        </w:rPr>
        <w:t>blog</w:t>
      </w:r>
      <w:r w:rsidRPr="00A7008B">
        <w:rPr>
          <w:bCs/>
        </w:rPr>
        <w:t>/</w:t>
      </w:r>
      <w:proofErr w:type="spellStart"/>
      <w:r w:rsidRPr="00A7008B">
        <w:rPr>
          <w:bCs/>
          <w:lang w:val="en-US"/>
        </w:rPr>
        <w:t>oleksandr</w:t>
      </w:r>
      <w:proofErr w:type="spellEnd"/>
      <w:r w:rsidRPr="00A7008B">
        <w:rPr>
          <w:bCs/>
        </w:rPr>
        <w:t>_</w:t>
      </w:r>
      <w:proofErr w:type="spellStart"/>
      <w:r w:rsidRPr="00A7008B">
        <w:rPr>
          <w:bCs/>
          <w:lang w:val="en-US"/>
        </w:rPr>
        <w:t>vodennikov</w:t>
      </w:r>
      <w:proofErr w:type="spellEnd"/>
      <w:r w:rsidRPr="00A7008B">
        <w:rPr>
          <w:bCs/>
        </w:rPr>
        <w:t>/454687_</w:t>
      </w:r>
      <w:proofErr w:type="spellStart"/>
      <w:r w:rsidRPr="00A7008B">
        <w:rPr>
          <w:bCs/>
          <w:lang w:val="en-US"/>
        </w:rPr>
        <w:t>bankivskiy</w:t>
      </w:r>
      <w:proofErr w:type="spellEnd"/>
      <w:r w:rsidRPr="00A7008B">
        <w:rPr>
          <w:bCs/>
        </w:rPr>
        <w:t>_</w:t>
      </w:r>
      <w:proofErr w:type="spellStart"/>
      <w:r w:rsidRPr="00A7008B">
        <w:rPr>
          <w:bCs/>
          <w:lang w:val="en-US"/>
        </w:rPr>
        <w:t>zakonoproekt</w:t>
      </w:r>
      <w:proofErr w:type="spellEnd"/>
      <w:r w:rsidRPr="00A7008B">
        <w:rPr>
          <w:bCs/>
        </w:rPr>
        <w:t>.</w:t>
      </w:r>
      <w:r w:rsidRPr="00A7008B">
        <w:rPr>
          <w:bCs/>
          <w:lang w:val="en-US"/>
        </w:rPr>
        <w:t>html</w:t>
      </w:r>
      <w:r w:rsidRPr="00A7008B">
        <w:rPr>
          <w:bCs/>
        </w:rPr>
        <w:t>.</w:t>
      </w:r>
    </w:p>
  </w:footnote>
  <w:footnote w:id="2">
    <w:p w:rsidR="00B46F60" w:rsidRPr="00A7008B" w:rsidRDefault="00B46F60" w:rsidP="00B46F60">
      <w:pPr>
        <w:pStyle w:val="a3"/>
        <w:ind w:firstLine="567"/>
      </w:pPr>
      <w:r w:rsidRPr="00A7008B">
        <w:rPr>
          <w:rStyle w:val="a7"/>
        </w:rPr>
        <w:footnoteRef/>
      </w:r>
      <w:r w:rsidRPr="00A7008B">
        <w:t xml:space="preserve"> </w:t>
      </w:r>
      <w:r w:rsidRPr="00A7008B">
        <w:t xml:space="preserve">Стан здійснення судочинства в Україні судами кримінальної юрисдикції у 2018 році. Опрацьовано статистичні дані Державної судової адміністрації України, Касаційного кримінального суду у складі Верховного Суду. Київ: Верховний Суд, 2019. С. 64. URL: https://supreme.court.gov.ua/userfiles/media/Analiz_kramin _sud_2018.pdf; Стан здійснення правосуддя у кримінальних провадженнях та справах про адміністративні правопорушення судами загальної юрисдикції у 2019 році. Опрацьовано статистичні дані Державної судової адміністрації України, Касаційного кримінального суду у складі Верховного Суду. Київ: Верховний Суд, 2019. С. 74. URL: https://supreme.court.gov.ua/userfiles/media/Analiz_Krumin_sudu_ </w:t>
      </w:r>
      <w:proofErr w:type="spellStart"/>
      <w:r w:rsidRPr="00A7008B">
        <w:t>pravopor</w:t>
      </w:r>
      <w:proofErr w:type="spellEnd"/>
      <w:r w:rsidRPr="00A7008B">
        <w:t>_2019.pdf.</w:t>
      </w:r>
    </w:p>
  </w:footnote>
  <w:footnote w:id="3">
    <w:p w:rsidR="00B46F60" w:rsidRDefault="00B46F60" w:rsidP="00B46F60">
      <w:pPr>
        <w:pStyle w:val="a3"/>
        <w:ind w:firstLine="567"/>
      </w:pPr>
      <w:r>
        <w:rPr>
          <w:rStyle w:val="a7"/>
        </w:rPr>
        <w:footnoteRef/>
      </w:r>
      <w:r>
        <w:t xml:space="preserve"> </w:t>
      </w:r>
      <w:proofErr w:type="spellStart"/>
      <w:r>
        <w:rPr>
          <w:bCs/>
          <w:iCs/>
        </w:rPr>
        <w:t>Васілін</w:t>
      </w:r>
      <w:proofErr w:type="spellEnd"/>
      <w:r>
        <w:rPr>
          <w:bCs/>
          <w:iCs/>
        </w:rPr>
        <w:t xml:space="preserve"> Є.</w:t>
      </w:r>
      <w:r w:rsidRPr="00AC60CE">
        <w:rPr>
          <w:bCs/>
          <w:iCs/>
        </w:rPr>
        <w:t>М. Доведення банку до неплатоспроможності: соціальна обумовленість криміналізації, аналіз складу з</w:t>
      </w:r>
      <w:r>
        <w:rPr>
          <w:bCs/>
          <w:iCs/>
        </w:rPr>
        <w:t xml:space="preserve">лочину: дис. … канд. </w:t>
      </w:r>
      <w:proofErr w:type="spellStart"/>
      <w:r>
        <w:rPr>
          <w:bCs/>
          <w:iCs/>
        </w:rPr>
        <w:t>юрид</w:t>
      </w:r>
      <w:proofErr w:type="spellEnd"/>
      <w:r>
        <w:rPr>
          <w:bCs/>
          <w:iCs/>
        </w:rPr>
        <w:t>. наук: 12.00.08.</w:t>
      </w:r>
      <w:r w:rsidRPr="00AC60CE">
        <w:rPr>
          <w:bCs/>
          <w:iCs/>
        </w:rPr>
        <w:t xml:space="preserve"> </w:t>
      </w:r>
      <w:proofErr w:type="spellStart"/>
      <w:r w:rsidRPr="00AC60CE">
        <w:rPr>
          <w:bCs/>
          <w:iCs/>
        </w:rPr>
        <w:t>Сєвєродонецьк</w:t>
      </w:r>
      <w:proofErr w:type="spellEnd"/>
      <w:r w:rsidRPr="00AC60CE">
        <w:rPr>
          <w:bCs/>
          <w:iCs/>
        </w:rPr>
        <w:t>, 2018.</w:t>
      </w:r>
      <w:r>
        <w:rPr>
          <w:bCs/>
          <w:iCs/>
        </w:rPr>
        <w:t xml:space="preserve"> С. 24.</w:t>
      </w:r>
    </w:p>
  </w:footnote>
  <w:footnote w:id="4">
    <w:p w:rsidR="00B46F60" w:rsidRDefault="00B46F60" w:rsidP="00B46F60">
      <w:pPr>
        <w:pStyle w:val="a3"/>
        <w:ind w:firstLine="567"/>
      </w:pPr>
      <w:r>
        <w:rPr>
          <w:rStyle w:val="a7"/>
        </w:rPr>
        <w:footnoteRef/>
      </w:r>
      <w:r>
        <w:t xml:space="preserve"> </w:t>
      </w:r>
      <w:proofErr w:type="spellStart"/>
      <w:r w:rsidRPr="00865462">
        <w:t>Возняковська</w:t>
      </w:r>
      <w:proofErr w:type="spellEnd"/>
      <w:r w:rsidRPr="00865462">
        <w:t xml:space="preserve"> К.А. Господарсько-правове регулювання відносин неспроможності банків: автореф. дис. … д-ра </w:t>
      </w:r>
      <w:proofErr w:type="spellStart"/>
      <w:r w:rsidRPr="00865462">
        <w:t>юрид</w:t>
      </w:r>
      <w:proofErr w:type="spellEnd"/>
      <w:r w:rsidRPr="00865462">
        <w:t>. наук: 12.00.04. Одеса, 2019. С. 5</w:t>
      </w:r>
      <w:r>
        <w:t>.</w:t>
      </w:r>
    </w:p>
  </w:footnote>
  <w:footnote w:id="5">
    <w:p w:rsidR="00B46F60" w:rsidRPr="00A7008B" w:rsidRDefault="00B46F60" w:rsidP="00B46F60">
      <w:pPr>
        <w:pStyle w:val="a3"/>
        <w:ind w:firstLine="567"/>
        <w:rPr>
          <w:bCs/>
          <w:iCs/>
        </w:rPr>
      </w:pPr>
      <w:r w:rsidRPr="00A7008B">
        <w:rPr>
          <w:rStyle w:val="a7"/>
        </w:rPr>
        <w:footnoteRef/>
      </w:r>
      <w:r w:rsidRPr="00A7008B">
        <w:t xml:space="preserve"> </w:t>
      </w:r>
      <w:proofErr w:type="spellStart"/>
      <w:r w:rsidRPr="00A7008B">
        <w:rPr>
          <w:bCs/>
          <w:iCs/>
        </w:rPr>
        <w:t>Васілін</w:t>
      </w:r>
      <w:proofErr w:type="spellEnd"/>
      <w:r w:rsidRPr="00A7008B">
        <w:rPr>
          <w:bCs/>
          <w:iCs/>
        </w:rPr>
        <w:t xml:space="preserve"> Є.М.</w:t>
      </w:r>
      <w:r>
        <w:rPr>
          <w:bCs/>
          <w:iCs/>
        </w:rPr>
        <w:t xml:space="preserve"> Зазначена праця</w:t>
      </w:r>
      <w:r w:rsidRPr="00A7008B">
        <w:rPr>
          <w:bCs/>
          <w:iCs/>
        </w:rPr>
        <w:t>. С.</w:t>
      </w:r>
      <w:r>
        <w:rPr>
          <w:bCs/>
          <w:iCs/>
        </w:rPr>
        <w:t xml:space="preserve"> </w:t>
      </w:r>
      <w:r w:rsidRPr="00A7008B">
        <w:rPr>
          <w:bCs/>
          <w:iCs/>
        </w:rPr>
        <w:t>189–206.</w:t>
      </w:r>
    </w:p>
  </w:footnote>
  <w:footnote w:id="6">
    <w:p w:rsidR="00B46F60" w:rsidRPr="00A7008B" w:rsidRDefault="00B46F60" w:rsidP="00B46F60">
      <w:pPr>
        <w:pStyle w:val="a3"/>
        <w:ind w:firstLine="567"/>
      </w:pPr>
      <w:r w:rsidRPr="00A7008B">
        <w:rPr>
          <w:rStyle w:val="a7"/>
        </w:rPr>
        <w:footnoteRef/>
      </w:r>
      <w:r w:rsidRPr="00A7008B">
        <w:t xml:space="preserve"> </w:t>
      </w:r>
      <w:r w:rsidRPr="00A7008B">
        <w:rPr>
          <w:bCs/>
          <w:iCs/>
        </w:rPr>
        <w:t xml:space="preserve">Науково-практичний коментар Кримінального кодексу України: Злочини проти власності </w:t>
      </w:r>
      <w:r w:rsidRPr="00A7008B">
        <w:rPr>
          <w:bCs/>
          <w:iCs/>
          <w:lang w:val="ru-RU"/>
        </w:rPr>
        <w:t xml:space="preserve">/ </w:t>
      </w:r>
      <w:r w:rsidRPr="00A7008B">
        <w:rPr>
          <w:bCs/>
          <w:iCs/>
        </w:rPr>
        <w:t xml:space="preserve">за ред. М.І. Хавронюка. Київ: </w:t>
      </w:r>
      <w:proofErr w:type="spellStart"/>
      <w:r w:rsidRPr="00A7008B">
        <w:rPr>
          <w:bCs/>
          <w:iCs/>
        </w:rPr>
        <w:t>ВД</w:t>
      </w:r>
      <w:proofErr w:type="spellEnd"/>
      <w:r w:rsidRPr="00A7008B">
        <w:rPr>
          <w:bCs/>
          <w:iCs/>
        </w:rPr>
        <w:t xml:space="preserve"> «</w:t>
      </w:r>
      <w:proofErr w:type="spellStart"/>
      <w:r w:rsidRPr="00A7008B">
        <w:rPr>
          <w:bCs/>
          <w:iCs/>
        </w:rPr>
        <w:t>Дакор</w:t>
      </w:r>
      <w:proofErr w:type="spellEnd"/>
      <w:r w:rsidRPr="00A7008B">
        <w:rPr>
          <w:bCs/>
          <w:iCs/>
        </w:rPr>
        <w:t>», 2017. С. 157–158.</w:t>
      </w:r>
    </w:p>
  </w:footnote>
  <w:footnote w:id="7">
    <w:p w:rsidR="00B46F60" w:rsidRPr="00A7008B" w:rsidRDefault="00B46F60" w:rsidP="00B46F60">
      <w:pPr>
        <w:pStyle w:val="a3"/>
        <w:ind w:firstLine="567"/>
      </w:pPr>
      <w:r w:rsidRPr="00A7008B">
        <w:rPr>
          <w:rStyle w:val="a7"/>
        </w:rPr>
        <w:footnoteRef/>
      </w:r>
      <w:r w:rsidRPr="00A7008B">
        <w:t xml:space="preserve"> </w:t>
      </w:r>
      <w:proofErr w:type="spellStart"/>
      <w:r w:rsidRPr="00A7008B">
        <w:rPr>
          <w:lang w:val="ru-RU"/>
        </w:rPr>
        <w:t>Кримінальне</w:t>
      </w:r>
      <w:proofErr w:type="spellEnd"/>
      <w:r w:rsidRPr="00A7008B">
        <w:rPr>
          <w:lang w:val="ru-RU"/>
        </w:rPr>
        <w:t xml:space="preserve"> право </w:t>
      </w:r>
      <w:r w:rsidRPr="00A7008B">
        <w:t xml:space="preserve">України (Особлива частина): </w:t>
      </w:r>
      <w:proofErr w:type="gramStart"/>
      <w:r w:rsidRPr="00A7008B">
        <w:t>п</w:t>
      </w:r>
      <w:proofErr w:type="gramEnd"/>
      <w:r w:rsidRPr="00A7008B">
        <w:t xml:space="preserve">ідручник / за ред. О.О. </w:t>
      </w:r>
      <w:proofErr w:type="spellStart"/>
      <w:r w:rsidRPr="00A7008B">
        <w:t>Дудорова</w:t>
      </w:r>
      <w:proofErr w:type="spellEnd"/>
      <w:r w:rsidRPr="00A7008B">
        <w:t xml:space="preserve">, </w:t>
      </w:r>
      <w:proofErr w:type="spellStart"/>
      <w:r w:rsidRPr="00A7008B">
        <w:t>Є.О. Письменс</w:t>
      </w:r>
      <w:proofErr w:type="spellEnd"/>
      <w:r w:rsidRPr="00A7008B">
        <w:t>ького. Т. 1. Луганськ: вид-во «</w:t>
      </w:r>
      <w:proofErr w:type="spellStart"/>
      <w:r w:rsidRPr="00A7008B">
        <w:t>Елтон</w:t>
      </w:r>
      <w:proofErr w:type="spellEnd"/>
      <w:r w:rsidRPr="00A7008B">
        <w:t xml:space="preserve"> – 2», 2012. С. 447. </w:t>
      </w:r>
    </w:p>
  </w:footnote>
  <w:footnote w:id="8">
    <w:p w:rsidR="00B46F60" w:rsidRPr="00A7008B" w:rsidRDefault="00B46F60" w:rsidP="00B46F60">
      <w:pPr>
        <w:pStyle w:val="a3"/>
        <w:ind w:firstLine="567"/>
        <w:rPr>
          <w:bCs/>
          <w:iCs/>
        </w:rPr>
      </w:pPr>
      <w:r w:rsidRPr="00A7008B">
        <w:rPr>
          <w:rStyle w:val="a7"/>
        </w:rPr>
        <w:footnoteRef/>
      </w:r>
      <w:r w:rsidRPr="00A7008B">
        <w:t xml:space="preserve"> </w:t>
      </w:r>
      <w:r w:rsidRPr="00A7008B">
        <w:rPr>
          <w:bCs/>
          <w:iCs/>
        </w:rPr>
        <w:t xml:space="preserve">Мовчан Р.О., </w:t>
      </w:r>
      <w:proofErr w:type="spellStart"/>
      <w:r w:rsidRPr="00A7008B">
        <w:rPr>
          <w:bCs/>
          <w:iCs/>
        </w:rPr>
        <w:t>Дудоров</w:t>
      </w:r>
      <w:proofErr w:type="spellEnd"/>
      <w:r w:rsidRPr="00A7008B">
        <w:rPr>
          <w:bCs/>
          <w:iCs/>
        </w:rPr>
        <w:t xml:space="preserve"> О.О., </w:t>
      </w:r>
      <w:proofErr w:type="spellStart"/>
      <w:r w:rsidRPr="00A7008B">
        <w:rPr>
          <w:bCs/>
          <w:iCs/>
        </w:rPr>
        <w:t>Дацюк</w:t>
      </w:r>
      <w:proofErr w:type="spellEnd"/>
      <w:r w:rsidRPr="00A7008B">
        <w:rPr>
          <w:bCs/>
          <w:iCs/>
        </w:rPr>
        <w:t xml:space="preserve"> В.Б. Кримінально-правова протидія створенню фінансових пірамід в Україні: сучасний стан і перспективи вдосконалення. </w:t>
      </w:r>
      <w:r w:rsidRPr="00A7008B">
        <w:rPr>
          <w:bCs/>
          <w:i/>
          <w:iCs/>
        </w:rPr>
        <w:t>Юридичний електронний науковий журнал.</w:t>
      </w:r>
      <w:r w:rsidRPr="00A7008B">
        <w:rPr>
          <w:bCs/>
          <w:iCs/>
        </w:rPr>
        <w:t xml:space="preserve"> 2017. № 2. С. 108–127.</w:t>
      </w:r>
      <w:r w:rsidRPr="00A7008B">
        <w:t xml:space="preserve"> </w:t>
      </w:r>
      <w:r w:rsidRPr="00A7008B">
        <w:rPr>
          <w:lang w:val="en-US"/>
        </w:rPr>
        <w:t>URL</w:t>
      </w:r>
      <w:r w:rsidRPr="00A7008B">
        <w:t xml:space="preserve">: </w:t>
      </w:r>
      <w:r w:rsidRPr="00A7008B">
        <w:rPr>
          <w:bCs/>
          <w:iCs/>
        </w:rPr>
        <w:t>http://lsej.org.ua/2_2017/34.pdf.</w:t>
      </w:r>
    </w:p>
  </w:footnote>
  <w:footnote w:id="9">
    <w:p w:rsidR="00B46F60" w:rsidRPr="00A7008B" w:rsidRDefault="00B46F60" w:rsidP="00B46F60">
      <w:pPr>
        <w:pStyle w:val="a3"/>
        <w:ind w:firstLine="567"/>
        <w:rPr>
          <w:bCs/>
          <w:iCs/>
        </w:rPr>
      </w:pPr>
      <w:r w:rsidRPr="00A7008B">
        <w:rPr>
          <w:rStyle w:val="a7"/>
        </w:rPr>
        <w:footnoteRef/>
      </w:r>
      <w:r w:rsidRPr="00A7008B">
        <w:t xml:space="preserve"> </w:t>
      </w:r>
      <w:proofErr w:type="spellStart"/>
      <w:r w:rsidRPr="00A7008B">
        <w:rPr>
          <w:bCs/>
          <w:iCs/>
        </w:rPr>
        <w:t>Бобонич</w:t>
      </w:r>
      <w:proofErr w:type="spellEnd"/>
      <w:r w:rsidRPr="00A7008B">
        <w:rPr>
          <w:bCs/>
          <w:iCs/>
        </w:rPr>
        <w:t xml:space="preserve"> Є.Ф. Порушення порядку зайняття господарською діяльністю та діяльністю з надання фінансових послуг: кримінально-правова характеристика (ст. 202 Кримінального кодексу України): дис. … канд. </w:t>
      </w:r>
      <w:proofErr w:type="spellStart"/>
      <w:r w:rsidRPr="00A7008B">
        <w:rPr>
          <w:bCs/>
          <w:iCs/>
        </w:rPr>
        <w:t>юрид</w:t>
      </w:r>
      <w:proofErr w:type="spellEnd"/>
      <w:r w:rsidRPr="00A7008B">
        <w:rPr>
          <w:bCs/>
          <w:iCs/>
        </w:rPr>
        <w:t xml:space="preserve">. наук: 12.00.08. Київ, 2009. С. 23. </w:t>
      </w:r>
    </w:p>
  </w:footnote>
  <w:footnote w:id="10">
    <w:p w:rsidR="00B46F60" w:rsidRPr="00A7008B" w:rsidRDefault="00B46F60" w:rsidP="00B46F60">
      <w:pPr>
        <w:pStyle w:val="a3"/>
        <w:ind w:firstLine="567"/>
        <w:rPr>
          <w:bCs/>
          <w:iCs/>
        </w:rPr>
      </w:pPr>
      <w:r w:rsidRPr="00A7008B">
        <w:rPr>
          <w:rStyle w:val="a7"/>
        </w:rPr>
        <w:footnoteRef/>
      </w:r>
      <w:r w:rsidRPr="00A7008B">
        <w:t xml:space="preserve"> </w:t>
      </w:r>
      <w:proofErr w:type="spellStart"/>
      <w:r w:rsidRPr="00A7008B">
        <w:rPr>
          <w:bCs/>
          <w:iCs/>
        </w:rPr>
        <w:t>Шаргородська</w:t>
      </w:r>
      <w:proofErr w:type="spellEnd"/>
      <w:r w:rsidRPr="00A7008B">
        <w:rPr>
          <w:bCs/>
          <w:iCs/>
        </w:rPr>
        <w:t xml:space="preserve"> Н.В. Об’єктивні ознаки складів злочинів у банківській системі: дис. … канд. </w:t>
      </w:r>
      <w:proofErr w:type="spellStart"/>
      <w:r w:rsidRPr="00A7008B">
        <w:rPr>
          <w:bCs/>
          <w:iCs/>
        </w:rPr>
        <w:t>юрид</w:t>
      </w:r>
      <w:proofErr w:type="spellEnd"/>
      <w:r w:rsidRPr="00A7008B">
        <w:rPr>
          <w:bCs/>
          <w:iCs/>
        </w:rPr>
        <w:t xml:space="preserve">. наук: 12.00.08. Київ, 2012. 226 с.; </w:t>
      </w:r>
      <w:r w:rsidRPr="00A7008B">
        <w:rPr>
          <w:bCs/>
        </w:rPr>
        <w:t xml:space="preserve">Ключик Ю.В. Кримінальна відповідальність за злочини, пов’язані з банкрутством: автореф. дис. … канд. </w:t>
      </w:r>
      <w:proofErr w:type="spellStart"/>
      <w:r w:rsidRPr="00A7008B">
        <w:rPr>
          <w:bCs/>
        </w:rPr>
        <w:t>юрид</w:t>
      </w:r>
      <w:proofErr w:type="spellEnd"/>
      <w:r w:rsidRPr="00A7008B">
        <w:rPr>
          <w:bCs/>
        </w:rPr>
        <w:t xml:space="preserve">. наук: 12.00.08. Запоріжжя, 2019. 20 с. </w:t>
      </w:r>
    </w:p>
  </w:footnote>
  <w:footnote w:id="11">
    <w:p w:rsidR="00B46F60" w:rsidRPr="00A7008B" w:rsidRDefault="00B46F60" w:rsidP="00B46F60">
      <w:pPr>
        <w:pStyle w:val="a3"/>
        <w:ind w:firstLine="567"/>
      </w:pPr>
      <w:r w:rsidRPr="00A7008B">
        <w:rPr>
          <w:rStyle w:val="a7"/>
        </w:rPr>
        <w:footnoteRef/>
      </w:r>
      <w:r w:rsidRPr="00A7008B">
        <w:t xml:space="preserve"> </w:t>
      </w:r>
      <w:r w:rsidRPr="00A7008B">
        <w:rPr>
          <w:iCs/>
        </w:rPr>
        <w:t>Вислоцька Т.Ю.</w:t>
      </w:r>
      <w:r w:rsidRPr="00A7008B">
        <w:rPr>
          <w:i/>
          <w:iCs/>
        </w:rPr>
        <w:t xml:space="preserve"> </w:t>
      </w:r>
      <w:r w:rsidRPr="00A7008B">
        <w:t xml:space="preserve">Кримінально-правова охорона таємниці в Україні: </w:t>
      </w:r>
      <w:r w:rsidRPr="00A7008B">
        <w:rPr>
          <w:bCs/>
        </w:rPr>
        <w:t xml:space="preserve">дис. … канд. </w:t>
      </w:r>
      <w:proofErr w:type="spellStart"/>
      <w:r w:rsidRPr="00A7008B">
        <w:rPr>
          <w:bCs/>
        </w:rPr>
        <w:t>юрид</w:t>
      </w:r>
      <w:proofErr w:type="spellEnd"/>
      <w:r w:rsidRPr="00A7008B">
        <w:rPr>
          <w:bCs/>
        </w:rPr>
        <w:t xml:space="preserve">. наук: 12.00.08. </w:t>
      </w:r>
      <w:r w:rsidRPr="00A7008B">
        <w:t xml:space="preserve">Львів, 2017. 275 с. </w:t>
      </w:r>
    </w:p>
  </w:footnote>
  <w:footnote w:id="12">
    <w:p w:rsidR="00B46F60" w:rsidRPr="00A7008B" w:rsidRDefault="00B46F60" w:rsidP="00B46F60">
      <w:pPr>
        <w:pStyle w:val="a3"/>
        <w:ind w:firstLine="567"/>
      </w:pPr>
      <w:r w:rsidRPr="00A7008B">
        <w:rPr>
          <w:rStyle w:val="a7"/>
        </w:rPr>
        <w:footnoteRef/>
      </w:r>
      <w:r w:rsidRPr="00A7008B">
        <w:t xml:space="preserve"> </w:t>
      </w:r>
      <w:r w:rsidRPr="00A7008B">
        <w:t xml:space="preserve">Харченко В.Б. Кримінально-правова охорона прав на результати творчої діяльності та засоби індивідуалізації в Україні. Харків: ХНУ імені В.Н. </w:t>
      </w:r>
      <w:proofErr w:type="spellStart"/>
      <w:r w:rsidRPr="00A7008B">
        <w:t>Каразіна</w:t>
      </w:r>
      <w:proofErr w:type="spellEnd"/>
      <w:r w:rsidRPr="00A7008B">
        <w:t xml:space="preserve">, 2011. С. 423. </w:t>
      </w:r>
    </w:p>
  </w:footnote>
  <w:footnote w:id="13">
    <w:p w:rsidR="00B46F60" w:rsidRPr="00A7008B" w:rsidRDefault="00B46F60" w:rsidP="00B46F60">
      <w:pPr>
        <w:pStyle w:val="a3"/>
        <w:ind w:firstLine="567"/>
      </w:pPr>
      <w:r w:rsidRPr="00A7008B">
        <w:rPr>
          <w:rStyle w:val="a7"/>
        </w:rPr>
        <w:footnoteRef/>
      </w:r>
      <w:r w:rsidRPr="00A7008B">
        <w:t xml:space="preserve"> </w:t>
      </w:r>
      <w:r w:rsidRPr="00A7008B">
        <w:rPr>
          <w:bCs/>
        </w:rPr>
        <w:t>Науково-практичний коментар Кримінального кодексу</w:t>
      </w:r>
      <w:r w:rsidRPr="00A7008B">
        <w:rPr>
          <w:bCs/>
          <w:lang w:val="ru-RU"/>
        </w:rPr>
        <w:t xml:space="preserve"> </w:t>
      </w:r>
      <w:proofErr w:type="spellStart"/>
      <w:r w:rsidRPr="00A7008B">
        <w:rPr>
          <w:bCs/>
          <w:lang w:val="ru-RU"/>
        </w:rPr>
        <w:t>України</w:t>
      </w:r>
      <w:proofErr w:type="spellEnd"/>
      <w:r w:rsidRPr="00A7008B">
        <w:rPr>
          <w:bCs/>
        </w:rPr>
        <w:t xml:space="preserve"> / </w:t>
      </w:r>
      <w:r w:rsidRPr="00A7008B">
        <w:rPr>
          <w:bCs/>
          <w:lang w:val="ru-RU"/>
        </w:rPr>
        <w:t>з</w:t>
      </w:r>
      <w:r w:rsidRPr="00A7008B">
        <w:rPr>
          <w:bCs/>
        </w:rPr>
        <w:t xml:space="preserve">а ред. М.І. Мельника, М.І. Хавронюка. 10-те вид., </w:t>
      </w:r>
      <w:proofErr w:type="spellStart"/>
      <w:r w:rsidRPr="00A7008B">
        <w:rPr>
          <w:bCs/>
        </w:rPr>
        <w:t>переробл</w:t>
      </w:r>
      <w:proofErr w:type="spellEnd"/>
      <w:r w:rsidRPr="00A7008B">
        <w:rPr>
          <w:bCs/>
        </w:rPr>
        <w:t xml:space="preserve">. та </w:t>
      </w:r>
      <w:proofErr w:type="spellStart"/>
      <w:r w:rsidRPr="00A7008B">
        <w:rPr>
          <w:bCs/>
        </w:rPr>
        <w:t>допов</w:t>
      </w:r>
      <w:proofErr w:type="spellEnd"/>
      <w:r w:rsidRPr="00A7008B">
        <w:rPr>
          <w:bCs/>
        </w:rPr>
        <w:t xml:space="preserve">. Київ: </w:t>
      </w:r>
      <w:proofErr w:type="spellStart"/>
      <w:r w:rsidRPr="00A7008B">
        <w:rPr>
          <w:bCs/>
        </w:rPr>
        <w:t>ВД</w:t>
      </w:r>
      <w:proofErr w:type="spellEnd"/>
      <w:r w:rsidRPr="00A7008B">
        <w:rPr>
          <w:bCs/>
        </w:rPr>
        <w:t xml:space="preserve"> «</w:t>
      </w:r>
      <w:proofErr w:type="spellStart"/>
      <w:r w:rsidRPr="00A7008B">
        <w:rPr>
          <w:bCs/>
        </w:rPr>
        <w:t>Дакор</w:t>
      </w:r>
      <w:proofErr w:type="spellEnd"/>
      <w:r w:rsidRPr="00A7008B">
        <w:rPr>
          <w:bCs/>
        </w:rPr>
        <w:t>», 2018. 1368 с.</w:t>
      </w:r>
    </w:p>
  </w:footnote>
  <w:footnote w:id="14">
    <w:p w:rsidR="00B46F60" w:rsidRPr="00A7008B" w:rsidRDefault="00B46F60" w:rsidP="00B46F60">
      <w:pPr>
        <w:pStyle w:val="a3"/>
        <w:ind w:firstLine="567"/>
      </w:pPr>
      <w:r w:rsidRPr="00A7008B">
        <w:rPr>
          <w:rStyle w:val="a7"/>
        </w:rPr>
        <w:footnoteRef/>
      </w:r>
      <w:r w:rsidRPr="00A7008B">
        <w:t xml:space="preserve"> </w:t>
      </w:r>
      <w:r w:rsidRPr="00A7008B">
        <w:t>Михайлов О.О. Юридична особа як суб’єкт злочину: іноземний досвід та перспективи його застосування в Україні : а</w:t>
      </w:r>
      <w:r>
        <w:t xml:space="preserve">втореф. дис. … канд. </w:t>
      </w:r>
      <w:proofErr w:type="spellStart"/>
      <w:r>
        <w:t>юрид</w:t>
      </w:r>
      <w:proofErr w:type="spellEnd"/>
      <w:r>
        <w:t>. наук: 12.00.08.</w:t>
      </w:r>
      <w:r w:rsidRPr="00A7008B">
        <w:t xml:space="preserve"> Київ, 20</w:t>
      </w:r>
      <w:r>
        <w:t xml:space="preserve">08. 16 с.; </w:t>
      </w:r>
      <w:proofErr w:type="spellStart"/>
      <w:r>
        <w:t>Куц</w:t>
      </w:r>
      <w:proofErr w:type="spellEnd"/>
      <w:r>
        <w:t xml:space="preserve"> В.М., Сотніченко </w:t>
      </w:r>
      <w:r w:rsidRPr="00A7008B">
        <w:t xml:space="preserve">В.С. Юридична особа як об’єкт застосування кримінально-правових заходів : </w:t>
      </w:r>
      <w:proofErr w:type="spellStart"/>
      <w:r w:rsidRPr="00A7008B">
        <w:t>моногр</w:t>
      </w:r>
      <w:proofErr w:type="spellEnd"/>
      <w:r w:rsidRPr="00A7008B">
        <w:t>. Київ: Національна академія пр</w:t>
      </w:r>
      <w:r>
        <w:t>окуратури України, 2017. 250 с.</w:t>
      </w:r>
      <w:r w:rsidRPr="00A7008B">
        <w:t>; Провоторов О.П. Заходи кримінально-правового характеру щодо юридичної особи як інститут кримінального права України: а</w:t>
      </w:r>
      <w:r>
        <w:t xml:space="preserve">втореф. дис. … канд. </w:t>
      </w:r>
      <w:proofErr w:type="spellStart"/>
      <w:r>
        <w:t>юрид</w:t>
      </w:r>
      <w:proofErr w:type="spellEnd"/>
      <w:r>
        <w:t>. наук: 12.00.08.</w:t>
      </w:r>
      <w:r w:rsidRPr="00A7008B">
        <w:t xml:space="preserve"> Київ, 2019. 19 с.</w:t>
      </w:r>
    </w:p>
  </w:footnote>
  <w:footnote w:id="15">
    <w:p w:rsidR="00B46F60" w:rsidRPr="00A7008B" w:rsidRDefault="00B46F60" w:rsidP="00B46F60">
      <w:pPr>
        <w:pStyle w:val="a3"/>
        <w:ind w:firstLine="567"/>
        <w:rPr>
          <w:bCs/>
          <w:iCs/>
        </w:rPr>
      </w:pPr>
      <w:r w:rsidRPr="00A7008B">
        <w:rPr>
          <w:rStyle w:val="a7"/>
        </w:rPr>
        <w:footnoteRef/>
      </w:r>
      <w:r w:rsidRPr="00A7008B">
        <w:t xml:space="preserve"> </w:t>
      </w:r>
      <w:r w:rsidRPr="00A7008B">
        <w:rPr>
          <w:bCs/>
          <w:iCs/>
        </w:rPr>
        <w:t xml:space="preserve">Науково-практичний коментар Кримінального кодексу України: Злочини проти власності </w:t>
      </w:r>
      <w:r w:rsidRPr="00A7008B">
        <w:rPr>
          <w:bCs/>
          <w:iCs/>
          <w:lang w:val="ru-RU"/>
        </w:rPr>
        <w:t xml:space="preserve">/ </w:t>
      </w:r>
      <w:r w:rsidRPr="00A7008B">
        <w:rPr>
          <w:bCs/>
          <w:iCs/>
        </w:rPr>
        <w:t xml:space="preserve">за ред. М.І. Хавронюка. Київ: </w:t>
      </w:r>
      <w:proofErr w:type="spellStart"/>
      <w:r w:rsidRPr="00A7008B">
        <w:rPr>
          <w:bCs/>
          <w:iCs/>
        </w:rPr>
        <w:t>ВД</w:t>
      </w:r>
      <w:proofErr w:type="spellEnd"/>
      <w:r w:rsidRPr="00A7008B">
        <w:rPr>
          <w:bCs/>
          <w:iCs/>
        </w:rPr>
        <w:t xml:space="preserve"> «</w:t>
      </w:r>
      <w:proofErr w:type="spellStart"/>
      <w:r w:rsidRPr="00A7008B">
        <w:rPr>
          <w:bCs/>
          <w:iCs/>
        </w:rPr>
        <w:t>Дакор</w:t>
      </w:r>
      <w:proofErr w:type="spellEnd"/>
      <w:r w:rsidRPr="00A7008B">
        <w:rPr>
          <w:bCs/>
          <w:iCs/>
        </w:rPr>
        <w:t>», 2017. С. 146–151.</w:t>
      </w:r>
    </w:p>
    <w:p w:rsidR="00B46F60" w:rsidRPr="00A7008B" w:rsidRDefault="00B46F60" w:rsidP="00B46F60">
      <w:pPr>
        <w:pStyle w:val="a3"/>
        <w:ind w:firstLine="567"/>
      </w:pPr>
      <w:r w:rsidRPr="00A7008B">
        <w:t xml:space="preserve">Докладніше ці питання авторами згаданого коментаря висвітлювались у статті: Карчевський М.В., </w:t>
      </w:r>
      <w:proofErr w:type="spellStart"/>
      <w:r w:rsidRPr="00A7008B">
        <w:t>Дудоров</w:t>
      </w:r>
      <w:proofErr w:type="spellEnd"/>
      <w:r w:rsidRPr="00A7008B">
        <w:t xml:space="preserve"> О.О. Проблеми кримінально-правової кваліфікації злочинів проти власності, вчинюваних із використанням платіжних карток або їх реквізитів. </w:t>
      </w:r>
      <w:r w:rsidRPr="00A7008B">
        <w:rPr>
          <w:i/>
        </w:rPr>
        <w:t>Кримінальне судочинство. Судова практика у кримінальних справах.</w:t>
      </w:r>
      <w:r w:rsidRPr="00A7008B">
        <w:t xml:space="preserve"> 2014. № 1. С. 97–123.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E" w:rsidRDefault="00AF2E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E" w:rsidRDefault="00AF2E3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E" w:rsidRDefault="00AF2E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18"/>
    <w:multiLevelType w:val="hybridMultilevel"/>
    <w:tmpl w:val="D0ACE2B6"/>
    <w:lvl w:ilvl="0" w:tplc="24F0955C">
      <w:start w:val="1"/>
      <w:numFmt w:val="decimal"/>
      <w:lvlText w:val="%1."/>
      <w:lvlJc w:val="left"/>
      <w:pPr>
        <w:tabs>
          <w:tab w:val="num" w:pos="1059"/>
        </w:tabs>
        <w:ind w:left="177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183C32"/>
    <w:multiLevelType w:val="hybridMultilevel"/>
    <w:tmpl w:val="C84C9826"/>
    <w:lvl w:ilvl="0" w:tplc="7422977A">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F124A23"/>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E33EFC"/>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3004AC"/>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8A29DA"/>
    <w:multiLevelType w:val="hybridMultilevel"/>
    <w:tmpl w:val="B9EC2DD8"/>
    <w:lvl w:ilvl="0" w:tplc="749E3FD0">
      <w:numFmt w:val="bullet"/>
      <w:lvlText w:val="–"/>
      <w:lvlJc w:val="left"/>
      <w:pPr>
        <w:ind w:left="1287" w:hanging="360"/>
      </w:pPr>
      <w:rPr>
        <w:rFonts w:ascii="Times New Roman" w:eastAsia="Times New Roman" w:hAnsi="Times New Roman"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4BC7A41"/>
    <w:multiLevelType w:val="hybridMultilevel"/>
    <w:tmpl w:val="B706F31E"/>
    <w:lvl w:ilvl="0" w:tplc="0422000F">
      <w:start w:val="1"/>
      <w:numFmt w:val="decimal"/>
      <w:lvlText w:val="%1."/>
      <w:lvlJc w:val="left"/>
      <w:pPr>
        <w:ind w:left="2062" w:hanging="360"/>
      </w:pPr>
    </w:lvl>
    <w:lvl w:ilvl="1" w:tplc="04220019">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7">
    <w:nsid w:val="250450F8"/>
    <w:multiLevelType w:val="hybridMultilevel"/>
    <w:tmpl w:val="60C61F52"/>
    <w:lvl w:ilvl="0" w:tplc="E7BCB7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7970FCD"/>
    <w:multiLevelType w:val="hybridMultilevel"/>
    <w:tmpl w:val="C52E0ED0"/>
    <w:lvl w:ilvl="0" w:tplc="F74CC038">
      <w:start w:val="1"/>
      <w:numFmt w:val="decimal"/>
      <w:lvlText w:val="%1."/>
      <w:lvlJc w:val="left"/>
      <w:pPr>
        <w:ind w:left="1996" w:hanging="360"/>
      </w:pPr>
      <w:rPr>
        <w:rFonts w:hint="default"/>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9">
    <w:nsid w:val="280A3F11"/>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6E7C3A"/>
    <w:multiLevelType w:val="multilevel"/>
    <w:tmpl w:val="0B947534"/>
    <w:lvl w:ilvl="0">
      <w:start w:val="3"/>
      <w:numFmt w:val="decimal"/>
      <w:lvlText w:val="%1"/>
      <w:lvlJc w:val="left"/>
      <w:pPr>
        <w:ind w:left="560" w:hanging="560"/>
      </w:pPr>
      <w:rPr>
        <w:rFonts w:eastAsia="Calibri" w:hint="default"/>
        <w:color w:val="000000"/>
      </w:rPr>
    </w:lvl>
    <w:lvl w:ilvl="1">
      <w:start w:val="3"/>
      <w:numFmt w:val="none"/>
      <w:lvlText w:val="2.1%2"/>
      <w:lvlJc w:val="left"/>
      <w:pPr>
        <w:ind w:left="1056" w:hanging="560"/>
      </w:pPr>
      <w:rPr>
        <w:rFonts w:eastAsia="Calibri" w:hint="default"/>
        <w:color w:val="000000"/>
      </w:rPr>
    </w:lvl>
    <w:lvl w:ilvl="2">
      <w:start w:val="1"/>
      <w:numFmt w:val="decimal"/>
      <w:lvlText w:val="%1.%2%3"/>
      <w:lvlJc w:val="left"/>
      <w:pPr>
        <w:ind w:left="1712" w:hanging="720"/>
      </w:pPr>
      <w:rPr>
        <w:rFonts w:eastAsia="Calibri" w:hint="default"/>
        <w:b w:val="0"/>
        <w:color w:val="000000"/>
      </w:rPr>
    </w:lvl>
    <w:lvl w:ilvl="3">
      <w:start w:val="1"/>
      <w:numFmt w:val="decimal"/>
      <w:lvlText w:val="%1.%2.%3.%4"/>
      <w:lvlJc w:val="left"/>
      <w:pPr>
        <w:ind w:left="2568" w:hanging="1080"/>
      </w:pPr>
      <w:rPr>
        <w:rFonts w:eastAsia="Calibri" w:hint="default"/>
        <w:color w:val="000000"/>
      </w:rPr>
    </w:lvl>
    <w:lvl w:ilvl="4">
      <w:start w:val="1"/>
      <w:numFmt w:val="decimal"/>
      <w:lvlText w:val="%1.%2.%3.%4.%5"/>
      <w:lvlJc w:val="left"/>
      <w:pPr>
        <w:ind w:left="3064" w:hanging="1080"/>
      </w:pPr>
      <w:rPr>
        <w:rFonts w:eastAsia="Calibri" w:hint="default"/>
        <w:color w:val="000000"/>
      </w:rPr>
    </w:lvl>
    <w:lvl w:ilvl="5">
      <w:start w:val="1"/>
      <w:numFmt w:val="decimal"/>
      <w:lvlText w:val="%1.%2.%3.%4.%5.%6"/>
      <w:lvlJc w:val="left"/>
      <w:pPr>
        <w:ind w:left="3920" w:hanging="1440"/>
      </w:pPr>
      <w:rPr>
        <w:rFonts w:eastAsia="Calibri" w:hint="default"/>
        <w:color w:val="000000"/>
      </w:rPr>
    </w:lvl>
    <w:lvl w:ilvl="6">
      <w:start w:val="1"/>
      <w:numFmt w:val="decimal"/>
      <w:lvlText w:val="%1.%2.%3.%4.%5.%6.%7"/>
      <w:lvlJc w:val="left"/>
      <w:pPr>
        <w:ind w:left="4416" w:hanging="1440"/>
      </w:pPr>
      <w:rPr>
        <w:rFonts w:eastAsia="Calibri" w:hint="default"/>
        <w:color w:val="000000"/>
      </w:rPr>
    </w:lvl>
    <w:lvl w:ilvl="7">
      <w:start w:val="1"/>
      <w:numFmt w:val="decimal"/>
      <w:lvlText w:val="%1.%2.%3.%4.%5.%6.%7.%8"/>
      <w:lvlJc w:val="left"/>
      <w:pPr>
        <w:ind w:left="5272" w:hanging="1800"/>
      </w:pPr>
      <w:rPr>
        <w:rFonts w:eastAsia="Calibri" w:hint="default"/>
        <w:color w:val="000000"/>
      </w:rPr>
    </w:lvl>
    <w:lvl w:ilvl="8">
      <w:start w:val="1"/>
      <w:numFmt w:val="decimal"/>
      <w:lvlText w:val="%1.%2.%3.%4.%5.%6.%7.%8.%9"/>
      <w:lvlJc w:val="left"/>
      <w:pPr>
        <w:ind w:left="6128" w:hanging="2160"/>
      </w:pPr>
      <w:rPr>
        <w:rFonts w:eastAsia="Calibri" w:hint="default"/>
        <w:color w:val="000000"/>
      </w:rPr>
    </w:lvl>
  </w:abstractNum>
  <w:abstractNum w:abstractNumId="11">
    <w:nsid w:val="364D66ED"/>
    <w:multiLevelType w:val="hybridMultilevel"/>
    <w:tmpl w:val="A3DA885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EA001C"/>
    <w:multiLevelType w:val="hybridMultilevel"/>
    <w:tmpl w:val="141AA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A1A35CC"/>
    <w:multiLevelType w:val="hybridMultilevel"/>
    <w:tmpl w:val="13D662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31D6592"/>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B9D03AE"/>
    <w:multiLevelType w:val="hybridMultilevel"/>
    <w:tmpl w:val="B706F31E"/>
    <w:lvl w:ilvl="0" w:tplc="0422000F">
      <w:start w:val="1"/>
      <w:numFmt w:val="decimal"/>
      <w:lvlText w:val="%1."/>
      <w:lvlJc w:val="left"/>
      <w:pPr>
        <w:ind w:left="1636" w:hanging="360"/>
      </w:pPr>
    </w:lvl>
    <w:lvl w:ilvl="1" w:tplc="04220019">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6">
    <w:nsid w:val="4C924EFB"/>
    <w:multiLevelType w:val="hybridMultilevel"/>
    <w:tmpl w:val="CAF01868"/>
    <w:lvl w:ilvl="0" w:tplc="F6C0A5D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FC450D4"/>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0DE0BD3"/>
    <w:multiLevelType w:val="hybridMultilevel"/>
    <w:tmpl w:val="7A06C3E8"/>
    <w:lvl w:ilvl="0" w:tplc="9E6C38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D830F95"/>
    <w:multiLevelType w:val="singleLevel"/>
    <w:tmpl w:val="9DC04486"/>
    <w:lvl w:ilvl="0">
      <w:start w:val="1"/>
      <w:numFmt w:val="bullet"/>
      <w:lvlText w:val="–"/>
      <w:lvlJc w:val="left"/>
      <w:pPr>
        <w:tabs>
          <w:tab w:val="num" w:pos="1069"/>
        </w:tabs>
        <w:ind w:left="0" w:firstLine="709"/>
      </w:pPr>
      <w:rPr>
        <w:rFonts w:ascii="Times New Roman" w:hAnsi="Times New Roman" w:hint="default"/>
        <w:b w:val="0"/>
        <w:i w:val="0"/>
        <w:spacing w:val="0"/>
        <w:w w:val="100"/>
        <w:position w:val="0"/>
        <w:sz w:val="28"/>
      </w:rPr>
    </w:lvl>
  </w:abstractNum>
  <w:abstractNum w:abstractNumId="20">
    <w:nsid w:val="6E9047FF"/>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165C86"/>
    <w:multiLevelType w:val="hybridMultilevel"/>
    <w:tmpl w:val="B304170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nsid w:val="7AF321A0"/>
    <w:multiLevelType w:val="singleLevel"/>
    <w:tmpl w:val="9DC04486"/>
    <w:lvl w:ilvl="0">
      <w:start w:val="1"/>
      <w:numFmt w:val="bullet"/>
      <w:lvlText w:val="–"/>
      <w:lvlJc w:val="left"/>
      <w:pPr>
        <w:tabs>
          <w:tab w:val="num" w:pos="1069"/>
        </w:tabs>
        <w:ind w:left="0" w:firstLine="709"/>
      </w:pPr>
      <w:rPr>
        <w:rFonts w:ascii="Times New Roman" w:hAnsi="Times New Roman" w:hint="default"/>
        <w:b w:val="0"/>
        <w:i w:val="0"/>
        <w:spacing w:val="0"/>
        <w:w w:val="100"/>
        <w:position w:val="0"/>
        <w:sz w:val="28"/>
      </w:rPr>
    </w:lvl>
  </w:abstractNum>
  <w:abstractNum w:abstractNumId="23">
    <w:nsid w:val="7F0D75C5"/>
    <w:multiLevelType w:val="hybridMultilevel"/>
    <w:tmpl w:val="A7725DBC"/>
    <w:lvl w:ilvl="0" w:tplc="ED1AC1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7F220FAF"/>
    <w:multiLevelType w:val="hybridMultilevel"/>
    <w:tmpl w:val="B706F3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6"/>
  </w:num>
  <w:num w:numId="3">
    <w:abstractNumId w:val="1"/>
  </w:num>
  <w:num w:numId="4">
    <w:abstractNumId w:val="13"/>
  </w:num>
  <w:num w:numId="5">
    <w:abstractNumId w:val="11"/>
  </w:num>
  <w:num w:numId="6">
    <w:abstractNumId w:val="21"/>
  </w:num>
  <w:num w:numId="7">
    <w:abstractNumId w:val="8"/>
  </w:num>
  <w:num w:numId="8">
    <w:abstractNumId w:val="19"/>
  </w:num>
  <w:num w:numId="9">
    <w:abstractNumId w:val="22"/>
  </w:num>
  <w:num w:numId="10">
    <w:abstractNumId w:val="10"/>
  </w:num>
  <w:num w:numId="11">
    <w:abstractNumId w:val="12"/>
  </w:num>
  <w:num w:numId="12">
    <w:abstractNumId w:val="7"/>
  </w:num>
  <w:num w:numId="13">
    <w:abstractNumId w:val="18"/>
  </w:num>
  <w:num w:numId="14">
    <w:abstractNumId w:val="5"/>
  </w:num>
  <w:num w:numId="15">
    <w:abstractNumId w:val="15"/>
  </w:num>
  <w:num w:numId="16">
    <w:abstractNumId w:val="2"/>
  </w:num>
  <w:num w:numId="17">
    <w:abstractNumId w:val="17"/>
  </w:num>
  <w:num w:numId="18">
    <w:abstractNumId w:val="4"/>
  </w:num>
  <w:num w:numId="19">
    <w:abstractNumId w:val="20"/>
  </w:num>
  <w:num w:numId="20">
    <w:abstractNumId w:val="14"/>
  </w:num>
  <w:num w:numId="21">
    <w:abstractNumId w:val="6"/>
  </w:num>
  <w:num w:numId="22">
    <w:abstractNumId w:val="9"/>
  </w:num>
  <w:num w:numId="23">
    <w:abstractNumId w:val="3"/>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C"/>
    <w:rsid w:val="00696E12"/>
    <w:rsid w:val="007057FD"/>
    <w:rsid w:val="007D7316"/>
    <w:rsid w:val="00931B29"/>
    <w:rsid w:val="00A41FBC"/>
    <w:rsid w:val="00A66EDA"/>
    <w:rsid w:val="00AF2E31"/>
    <w:rsid w:val="00B46F60"/>
    <w:rsid w:val="00B60A33"/>
    <w:rsid w:val="00C61044"/>
    <w:rsid w:val="00D153CC"/>
    <w:rsid w:val="00D20767"/>
    <w:rsid w:val="00E052A4"/>
    <w:rsid w:val="00F92E19"/>
    <w:rsid w:val="00FA74D4"/>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6F60"/>
    <w:pPr>
      <w:keepNext/>
      <w:shd w:val="clear" w:color="auto" w:fill="FFFFFF"/>
      <w:spacing w:after="0" w:line="240" w:lineRule="auto"/>
      <w:ind w:left="5580"/>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B46F6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F60"/>
    <w:rPr>
      <w:rFonts w:ascii="Times New Roman" w:eastAsia="Times New Roman" w:hAnsi="Times New Roman" w:cs="Times New Roman"/>
      <w:bCs/>
      <w:sz w:val="28"/>
      <w:szCs w:val="28"/>
      <w:shd w:val="clear" w:color="auto" w:fill="FFFFFF"/>
      <w:lang w:eastAsia="ru-RU"/>
    </w:rPr>
  </w:style>
  <w:style w:type="character" w:customStyle="1" w:styleId="20">
    <w:name w:val="Заголовок 2 Знак"/>
    <w:basedOn w:val="a0"/>
    <w:link w:val="2"/>
    <w:uiPriority w:val="9"/>
    <w:rsid w:val="00B46F60"/>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B46F60"/>
  </w:style>
  <w:style w:type="paragraph" w:styleId="a3">
    <w:name w:val="footnote text"/>
    <w:aliases w:val="Текст сноски Знак1 Знак Знак1,Текст сноски Знак Знак Знак Знак1,Знак1 Знак Знак Знак Знак1,Текст сноски Знак1 Знак,Текст сноски Знак Знак Знак,Знак1 Знак Знак Знак,Текст сноски Знак1,Знак1 Знак Знак,Знак Знак Знак1,Знак,Знак Знак Знак2"/>
    <w:link w:val="a4"/>
    <w:unhideWhenUsed/>
    <w:rsid w:val="00B46F60"/>
    <w:pPr>
      <w:spacing w:after="0" w:line="210" w:lineRule="exact"/>
      <w:ind w:firstLine="340"/>
      <w:jc w:val="both"/>
    </w:pPr>
    <w:rPr>
      <w:rFonts w:ascii="Times New Roman" w:eastAsia="Times New Roman" w:hAnsi="Times New Roman" w:cs="Times New Roman"/>
      <w:sz w:val="20"/>
      <w:szCs w:val="20"/>
      <w:lang w:eastAsia="ru-RU"/>
    </w:rPr>
  </w:style>
  <w:style w:type="character" w:customStyle="1" w:styleId="a4">
    <w:name w:val="Текст сноски Знак"/>
    <w:aliases w:val="Footnote Text Char Знак,Знак Знак"/>
    <w:basedOn w:val="a0"/>
    <w:link w:val="a3"/>
    <w:rsid w:val="00B46F60"/>
    <w:rPr>
      <w:rFonts w:ascii="Times New Roman" w:eastAsia="Times New Roman" w:hAnsi="Times New Roman" w:cs="Times New Roman"/>
      <w:sz w:val="20"/>
      <w:szCs w:val="20"/>
      <w:lang w:eastAsia="ru-RU"/>
    </w:rPr>
  </w:style>
  <w:style w:type="paragraph" w:styleId="a5">
    <w:name w:val="Title"/>
    <w:basedOn w:val="a"/>
    <w:next w:val="a"/>
    <w:link w:val="a6"/>
    <w:qFormat/>
    <w:rsid w:val="00B46F60"/>
    <w:pPr>
      <w:spacing w:before="240" w:after="60" w:line="240" w:lineRule="auto"/>
      <w:jc w:val="center"/>
      <w:outlineLvl w:val="0"/>
    </w:pPr>
    <w:rPr>
      <w:rFonts w:ascii="Cambria" w:eastAsia="Times New Roman" w:hAnsi="Cambria" w:cs="Times New Roman"/>
      <w:b/>
      <w:bCs/>
      <w:iCs/>
      <w:kern w:val="28"/>
      <w:sz w:val="32"/>
      <w:szCs w:val="32"/>
      <w:lang w:eastAsia="ru-RU"/>
    </w:rPr>
  </w:style>
  <w:style w:type="character" w:customStyle="1" w:styleId="a6">
    <w:name w:val="Название Знак"/>
    <w:basedOn w:val="a0"/>
    <w:link w:val="a5"/>
    <w:rsid w:val="00B46F60"/>
    <w:rPr>
      <w:rFonts w:ascii="Cambria" w:eastAsia="Times New Roman" w:hAnsi="Cambria" w:cs="Times New Roman"/>
      <w:b/>
      <w:bCs/>
      <w:iCs/>
      <w:kern w:val="28"/>
      <w:sz w:val="32"/>
      <w:szCs w:val="32"/>
      <w:lang w:eastAsia="ru-RU"/>
    </w:rPr>
  </w:style>
  <w:style w:type="paragraph" w:styleId="21">
    <w:name w:val="Body Text Indent 2"/>
    <w:basedOn w:val="a"/>
    <w:link w:val="22"/>
    <w:unhideWhenUsed/>
    <w:rsid w:val="00B46F6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46F60"/>
    <w:rPr>
      <w:rFonts w:ascii="Times New Roman" w:eastAsia="Times New Roman" w:hAnsi="Times New Roman" w:cs="Times New Roman"/>
      <w:sz w:val="28"/>
      <w:szCs w:val="24"/>
      <w:lang w:eastAsia="ru-RU"/>
    </w:rPr>
  </w:style>
  <w:style w:type="paragraph" w:customStyle="1" w:styleId="BodyText2">
    <w:name w:val="Body Text 2"/>
    <w:basedOn w:val="a"/>
    <w:rsid w:val="00B46F60"/>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styleId="a7">
    <w:name w:val="footnote reference"/>
    <w:uiPriority w:val="99"/>
    <w:unhideWhenUsed/>
    <w:rsid w:val="00B46F60"/>
    <w:rPr>
      <w:vertAlign w:val="superscript"/>
    </w:rPr>
  </w:style>
  <w:style w:type="paragraph" w:styleId="a8">
    <w:name w:val="header"/>
    <w:basedOn w:val="a"/>
    <w:link w:val="a9"/>
    <w:uiPriority w:val="99"/>
    <w:semiHidden/>
    <w:unhideWhenUsed/>
    <w:rsid w:val="00B46F60"/>
    <w:pPr>
      <w:tabs>
        <w:tab w:val="center" w:pos="4677"/>
        <w:tab w:val="right" w:pos="9355"/>
      </w:tabs>
      <w:spacing w:after="0" w:line="240" w:lineRule="auto"/>
    </w:pPr>
    <w:rPr>
      <w:rFonts w:ascii="Times New Roman" w:eastAsia="Times New Roman" w:hAnsi="Times New Roman" w:cs="Times New Roman"/>
      <w:iCs/>
      <w:sz w:val="28"/>
      <w:szCs w:val="20"/>
      <w:lang w:eastAsia="ru-RU"/>
    </w:rPr>
  </w:style>
  <w:style w:type="character" w:customStyle="1" w:styleId="a9">
    <w:name w:val="Верхний колонтитул Знак"/>
    <w:basedOn w:val="a0"/>
    <w:link w:val="a8"/>
    <w:uiPriority w:val="99"/>
    <w:semiHidden/>
    <w:rsid w:val="00B46F60"/>
    <w:rPr>
      <w:rFonts w:ascii="Times New Roman" w:eastAsia="Times New Roman" w:hAnsi="Times New Roman" w:cs="Times New Roman"/>
      <w:iCs/>
      <w:sz w:val="28"/>
      <w:szCs w:val="20"/>
      <w:lang w:eastAsia="ru-RU"/>
    </w:rPr>
  </w:style>
  <w:style w:type="paragraph" w:styleId="aa">
    <w:name w:val="footer"/>
    <w:basedOn w:val="a"/>
    <w:link w:val="ab"/>
    <w:uiPriority w:val="99"/>
    <w:unhideWhenUsed/>
    <w:rsid w:val="00B46F60"/>
    <w:pPr>
      <w:tabs>
        <w:tab w:val="center" w:pos="4677"/>
        <w:tab w:val="right" w:pos="9355"/>
      </w:tabs>
      <w:spacing w:after="0" w:line="240" w:lineRule="auto"/>
    </w:pPr>
    <w:rPr>
      <w:rFonts w:ascii="Times New Roman" w:eastAsia="Times New Roman" w:hAnsi="Times New Roman" w:cs="Times New Roman"/>
      <w:iCs/>
      <w:sz w:val="28"/>
      <w:szCs w:val="20"/>
      <w:lang w:eastAsia="ru-RU"/>
    </w:rPr>
  </w:style>
  <w:style w:type="character" w:customStyle="1" w:styleId="ab">
    <w:name w:val="Нижний колонтитул Знак"/>
    <w:basedOn w:val="a0"/>
    <w:link w:val="aa"/>
    <w:uiPriority w:val="99"/>
    <w:rsid w:val="00B46F60"/>
    <w:rPr>
      <w:rFonts w:ascii="Times New Roman" w:eastAsia="Times New Roman" w:hAnsi="Times New Roman" w:cs="Times New Roman"/>
      <w:iCs/>
      <w:sz w:val="28"/>
      <w:szCs w:val="20"/>
      <w:lang w:eastAsia="ru-RU"/>
    </w:rPr>
  </w:style>
  <w:style w:type="paragraph" w:customStyle="1" w:styleId="ac">
    <w:name w:val="Рома"/>
    <w:basedOn w:val="a"/>
    <w:rsid w:val="00B46F60"/>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paragraph" w:styleId="ad">
    <w:name w:val="Body Text Indent"/>
    <w:basedOn w:val="a"/>
    <w:link w:val="ae"/>
    <w:uiPriority w:val="99"/>
    <w:unhideWhenUsed/>
    <w:rsid w:val="00B46F60"/>
    <w:pPr>
      <w:spacing w:after="120"/>
      <w:ind w:left="283" w:firstLine="567"/>
      <w:jc w:val="both"/>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rsid w:val="00B46F60"/>
    <w:rPr>
      <w:rFonts w:ascii="Calibri" w:eastAsia="Times New Roman" w:hAnsi="Calibri" w:cs="Times New Roman"/>
      <w:lang w:eastAsia="ru-RU"/>
    </w:rPr>
  </w:style>
  <w:style w:type="character" w:customStyle="1" w:styleId="FontStyle">
    <w:name w:val="Font Style"/>
    <w:rsid w:val="00B46F60"/>
    <w:rPr>
      <w:color w:val="000000"/>
      <w:sz w:val="24"/>
    </w:rPr>
  </w:style>
  <w:style w:type="paragraph" w:styleId="af">
    <w:name w:val="Body Text"/>
    <w:basedOn w:val="a"/>
    <w:link w:val="af0"/>
    <w:uiPriority w:val="99"/>
    <w:semiHidden/>
    <w:unhideWhenUsed/>
    <w:rsid w:val="00B46F60"/>
    <w:pPr>
      <w:spacing w:after="120"/>
    </w:pPr>
    <w:rPr>
      <w:rFonts w:ascii="Calibri" w:eastAsia="Calibri" w:hAnsi="Calibri" w:cs="Times New Roman"/>
    </w:rPr>
  </w:style>
  <w:style w:type="character" w:customStyle="1" w:styleId="af0">
    <w:name w:val="Основной текст Знак"/>
    <w:basedOn w:val="a0"/>
    <w:link w:val="af"/>
    <w:uiPriority w:val="99"/>
    <w:semiHidden/>
    <w:rsid w:val="00B46F60"/>
    <w:rPr>
      <w:rFonts w:ascii="Calibri" w:eastAsia="Calibri" w:hAnsi="Calibri" w:cs="Times New Roman"/>
    </w:rPr>
  </w:style>
  <w:style w:type="character" w:customStyle="1" w:styleId="apple-converted-space">
    <w:name w:val="apple-converted-space"/>
    <w:basedOn w:val="a0"/>
    <w:rsid w:val="00B46F60"/>
  </w:style>
  <w:style w:type="paragraph" w:styleId="af1">
    <w:name w:val="Balloon Text"/>
    <w:basedOn w:val="a"/>
    <w:link w:val="af2"/>
    <w:uiPriority w:val="99"/>
    <w:semiHidden/>
    <w:unhideWhenUsed/>
    <w:rsid w:val="00B46F60"/>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B46F60"/>
    <w:rPr>
      <w:rFonts w:ascii="Tahoma" w:eastAsia="Calibri" w:hAnsi="Tahoma" w:cs="Tahoma"/>
      <w:sz w:val="16"/>
      <w:szCs w:val="16"/>
    </w:rPr>
  </w:style>
  <w:style w:type="paragraph" w:customStyle="1" w:styleId="12">
    <w:name w:val="Знак Знак Знак Знак Знак Знак Знак Знак Знак Знак Знак Знак1 Знак"/>
    <w:basedOn w:val="a"/>
    <w:rsid w:val="00B46F60"/>
    <w:pPr>
      <w:spacing w:after="160" w:line="240" w:lineRule="exact"/>
      <w:jc w:val="both"/>
    </w:pPr>
    <w:rPr>
      <w:rFonts w:ascii="Verdana" w:eastAsia="Times New Roman" w:hAnsi="Verdana" w:cs="Verdana"/>
      <w:sz w:val="20"/>
      <w:szCs w:val="20"/>
      <w:lang w:val="en-US"/>
    </w:rPr>
  </w:style>
  <w:style w:type="paragraph" w:customStyle="1" w:styleId="1234567890">
    <w:name w:val="1234567890"/>
    <w:basedOn w:val="ad"/>
    <w:link w:val="12345678900"/>
    <w:rsid w:val="00B46F60"/>
    <w:pPr>
      <w:spacing w:after="0" w:line="360" w:lineRule="auto"/>
      <w:ind w:left="0" w:firstLine="709"/>
    </w:pPr>
    <w:rPr>
      <w:rFonts w:ascii="Times New Roman" w:hAnsi="Times New Roman"/>
      <w:sz w:val="28"/>
      <w:szCs w:val="24"/>
    </w:rPr>
  </w:style>
  <w:style w:type="character" w:customStyle="1" w:styleId="12345678900">
    <w:name w:val="1234567890 Знак"/>
    <w:link w:val="1234567890"/>
    <w:rsid w:val="00B46F60"/>
    <w:rPr>
      <w:rFonts w:ascii="Times New Roman" w:eastAsia="Times New Roman" w:hAnsi="Times New Roman" w:cs="Times New Roman"/>
      <w:sz w:val="28"/>
      <w:szCs w:val="24"/>
      <w:lang w:eastAsia="ru-RU"/>
    </w:rPr>
  </w:style>
  <w:style w:type="paragraph" w:styleId="af3">
    <w:name w:val="List Paragraph"/>
    <w:basedOn w:val="a"/>
    <w:uiPriority w:val="34"/>
    <w:qFormat/>
    <w:rsid w:val="00B46F60"/>
    <w:pPr>
      <w:ind w:left="720"/>
      <w:contextualSpacing/>
    </w:pPr>
    <w:rPr>
      <w:rFonts w:ascii="Calibri" w:eastAsia="Calibri" w:hAnsi="Calibri" w:cs="Times New Roman"/>
    </w:rPr>
  </w:style>
  <w:style w:type="paragraph" w:styleId="HTML">
    <w:name w:val="HTML Preformatted"/>
    <w:basedOn w:val="a"/>
    <w:link w:val="HTML0"/>
    <w:uiPriority w:val="99"/>
    <w:unhideWhenUsed/>
    <w:rsid w:val="00B46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46F60"/>
    <w:rPr>
      <w:rFonts w:ascii="Courier New" w:eastAsia="Times New Roman" w:hAnsi="Courier New" w:cs="Courier New"/>
      <w:sz w:val="20"/>
      <w:szCs w:val="20"/>
      <w:lang w:val="ru-RU" w:eastAsia="ru-RU"/>
    </w:rPr>
  </w:style>
  <w:style w:type="character" w:customStyle="1" w:styleId="23">
    <w:name w:val="Текст сноски Знак2"/>
    <w:aliases w:val="Текст сноски Знак1 Знак Знак1 Знак1,Текст сноски Знак Знак Знак Знак1 Знак1,Знак1 Знак Знак Знак Знак1 Знак1,Текст сноски Знак1 Знак Знак,Текст сноски Знак Знак Знак Знак,Знак1 Знак Знак Знак Знак,Текст сноски Знак1 Знак1,Знак Знак1"/>
    <w:locked/>
    <w:rsid w:val="00B46F60"/>
    <w:rPr>
      <w:rFonts w:ascii="Times New Roman" w:hAnsi="Times New Roman"/>
      <w:sz w:val="24"/>
      <w:lang w:val="x-none" w:eastAsia="ru-RU"/>
    </w:rPr>
  </w:style>
  <w:style w:type="paragraph" w:customStyle="1" w:styleId="Normal">
    <w:name w:val="Normal"/>
    <w:rsid w:val="00B46F60"/>
    <w:pPr>
      <w:widowControl w:val="0"/>
      <w:spacing w:after="0" w:line="240" w:lineRule="auto"/>
      <w:jc w:val="both"/>
    </w:pPr>
    <w:rPr>
      <w:rFonts w:ascii="Times New Roman" w:eastAsia="Times New Roman" w:hAnsi="Times New Roman" w:cs="Times New Roman"/>
      <w:snapToGrid w:val="0"/>
      <w:sz w:val="20"/>
      <w:szCs w:val="20"/>
      <w:lang w:val="ru-RU" w:eastAsia="ru-RU"/>
    </w:rPr>
  </w:style>
  <w:style w:type="character" w:styleId="af4">
    <w:name w:val="Hyperlink"/>
    <w:rsid w:val="00B46F60"/>
    <w:rPr>
      <w:color w:val="0000FF"/>
      <w:u w:val="single"/>
    </w:rPr>
  </w:style>
  <w:style w:type="character" w:customStyle="1" w:styleId="9">
    <w:name w:val="Основной текст + 9"/>
    <w:aliases w:val="5 pt1"/>
    <w:rsid w:val="00B46F60"/>
    <w:rPr>
      <w:rFonts w:ascii="Times New Roman" w:hAnsi="Times New Roman" w:cs="Times New Roman"/>
      <w:sz w:val="19"/>
      <w:szCs w:val="19"/>
      <w:u w:val="none"/>
    </w:rPr>
  </w:style>
  <w:style w:type="character" w:styleId="af5">
    <w:name w:val="annotation reference"/>
    <w:rsid w:val="00B46F60"/>
    <w:rPr>
      <w:sz w:val="16"/>
      <w:szCs w:val="16"/>
    </w:rPr>
  </w:style>
  <w:style w:type="paragraph" w:styleId="af6">
    <w:name w:val="annotation text"/>
    <w:basedOn w:val="a"/>
    <w:link w:val="af7"/>
    <w:rsid w:val="00B46F60"/>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f7">
    <w:name w:val="Текст примечания Знак"/>
    <w:basedOn w:val="a0"/>
    <w:link w:val="af6"/>
    <w:rsid w:val="00B46F60"/>
    <w:rPr>
      <w:rFonts w:ascii="Times New Roman" w:eastAsia="Times New Roman" w:hAnsi="Times New Roman" w:cs="Times New Roman"/>
      <w:sz w:val="20"/>
      <w:szCs w:val="20"/>
      <w:lang w:val="ru-RU" w:eastAsia="ar-SA"/>
    </w:rPr>
  </w:style>
  <w:style w:type="paragraph" w:customStyle="1" w:styleId="rvps2">
    <w:name w:val="rvps2"/>
    <w:basedOn w:val="a"/>
    <w:rsid w:val="00B46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endnote text"/>
    <w:basedOn w:val="a"/>
    <w:link w:val="af9"/>
    <w:uiPriority w:val="99"/>
    <w:semiHidden/>
    <w:unhideWhenUsed/>
    <w:rsid w:val="00B46F60"/>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B46F6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6F60"/>
    <w:pPr>
      <w:keepNext/>
      <w:shd w:val="clear" w:color="auto" w:fill="FFFFFF"/>
      <w:spacing w:after="0" w:line="240" w:lineRule="auto"/>
      <w:ind w:left="5580"/>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B46F6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F60"/>
    <w:rPr>
      <w:rFonts w:ascii="Times New Roman" w:eastAsia="Times New Roman" w:hAnsi="Times New Roman" w:cs="Times New Roman"/>
      <w:bCs/>
      <w:sz w:val="28"/>
      <w:szCs w:val="28"/>
      <w:shd w:val="clear" w:color="auto" w:fill="FFFFFF"/>
      <w:lang w:eastAsia="ru-RU"/>
    </w:rPr>
  </w:style>
  <w:style w:type="character" w:customStyle="1" w:styleId="20">
    <w:name w:val="Заголовок 2 Знак"/>
    <w:basedOn w:val="a0"/>
    <w:link w:val="2"/>
    <w:uiPriority w:val="9"/>
    <w:rsid w:val="00B46F60"/>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B46F60"/>
  </w:style>
  <w:style w:type="paragraph" w:styleId="a3">
    <w:name w:val="footnote text"/>
    <w:aliases w:val="Текст сноски Знак1 Знак Знак1,Текст сноски Знак Знак Знак Знак1,Знак1 Знак Знак Знак Знак1,Текст сноски Знак1 Знак,Текст сноски Знак Знак Знак,Знак1 Знак Знак Знак,Текст сноски Знак1,Знак1 Знак Знак,Знак Знак Знак1,Знак,Знак Знак Знак2"/>
    <w:link w:val="a4"/>
    <w:unhideWhenUsed/>
    <w:rsid w:val="00B46F60"/>
    <w:pPr>
      <w:spacing w:after="0" w:line="210" w:lineRule="exact"/>
      <w:ind w:firstLine="340"/>
      <w:jc w:val="both"/>
    </w:pPr>
    <w:rPr>
      <w:rFonts w:ascii="Times New Roman" w:eastAsia="Times New Roman" w:hAnsi="Times New Roman" w:cs="Times New Roman"/>
      <w:sz w:val="20"/>
      <w:szCs w:val="20"/>
      <w:lang w:eastAsia="ru-RU"/>
    </w:rPr>
  </w:style>
  <w:style w:type="character" w:customStyle="1" w:styleId="a4">
    <w:name w:val="Текст сноски Знак"/>
    <w:aliases w:val="Footnote Text Char Знак,Знак Знак"/>
    <w:basedOn w:val="a0"/>
    <w:link w:val="a3"/>
    <w:rsid w:val="00B46F60"/>
    <w:rPr>
      <w:rFonts w:ascii="Times New Roman" w:eastAsia="Times New Roman" w:hAnsi="Times New Roman" w:cs="Times New Roman"/>
      <w:sz w:val="20"/>
      <w:szCs w:val="20"/>
      <w:lang w:eastAsia="ru-RU"/>
    </w:rPr>
  </w:style>
  <w:style w:type="paragraph" w:styleId="a5">
    <w:name w:val="Title"/>
    <w:basedOn w:val="a"/>
    <w:next w:val="a"/>
    <w:link w:val="a6"/>
    <w:qFormat/>
    <w:rsid w:val="00B46F60"/>
    <w:pPr>
      <w:spacing w:before="240" w:after="60" w:line="240" w:lineRule="auto"/>
      <w:jc w:val="center"/>
      <w:outlineLvl w:val="0"/>
    </w:pPr>
    <w:rPr>
      <w:rFonts w:ascii="Cambria" w:eastAsia="Times New Roman" w:hAnsi="Cambria" w:cs="Times New Roman"/>
      <w:b/>
      <w:bCs/>
      <w:iCs/>
      <w:kern w:val="28"/>
      <w:sz w:val="32"/>
      <w:szCs w:val="32"/>
      <w:lang w:eastAsia="ru-RU"/>
    </w:rPr>
  </w:style>
  <w:style w:type="character" w:customStyle="1" w:styleId="a6">
    <w:name w:val="Название Знак"/>
    <w:basedOn w:val="a0"/>
    <w:link w:val="a5"/>
    <w:rsid w:val="00B46F60"/>
    <w:rPr>
      <w:rFonts w:ascii="Cambria" w:eastAsia="Times New Roman" w:hAnsi="Cambria" w:cs="Times New Roman"/>
      <w:b/>
      <w:bCs/>
      <w:iCs/>
      <w:kern w:val="28"/>
      <w:sz w:val="32"/>
      <w:szCs w:val="32"/>
      <w:lang w:eastAsia="ru-RU"/>
    </w:rPr>
  </w:style>
  <w:style w:type="paragraph" w:styleId="21">
    <w:name w:val="Body Text Indent 2"/>
    <w:basedOn w:val="a"/>
    <w:link w:val="22"/>
    <w:unhideWhenUsed/>
    <w:rsid w:val="00B46F6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46F60"/>
    <w:rPr>
      <w:rFonts w:ascii="Times New Roman" w:eastAsia="Times New Roman" w:hAnsi="Times New Roman" w:cs="Times New Roman"/>
      <w:sz w:val="28"/>
      <w:szCs w:val="24"/>
      <w:lang w:eastAsia="ru-RU"/>
    </w:rPr>
  </w:style>
  <w:style w:type="paragraph" w:customStyle="1" w:styleId="BodyText2">
    <w:name w:val="Body Text 2"/>
    <w:basedOn w:val="a"/>
    <w:rsid w:val="00B46F60"/>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styleId="a7">
    <w:name w:val="footnote reference"/>
    <w:uiPriority w:val="99"/>
    <w:unhideWhenUsed/>
    <w:rsid w:val="00B46F60"/>
    <w:rPr>
      <w:vertAlign w:val="superscript"/>
    </w:rPr>
  </w:style>
  <w:style w:type="paragraph" w:styleId="a8">
    <w:name w:val="header"/>
    <w:basedOn w:val="a"/>
    <w:link w:val="a9"/>
    <w:uiPriority w:val="99"/>
    <w:semiHidden/>
    <w:unhideWhenUsed/>
    <w:rsid w:val="00B46F60"/>
    <w:pPr>
      <w:tabs>
        <w:tab w:val="center" w:pos="4677"/>
        <w:tab w:val="right" w:pos="9355"/>
      </w:tabs>
      <w:spacing w:after="0" w:line="240" w:lineRule="auto"/>
    </w:pPr>
    <w:rPr>
      <w:rFonts w:ascii="Times New Roman" w:eastAsia="Times New Roman" w:hAnsi="Times New Roman" w:cs="Times New Roman"/>
      <w:iCs/>
      <w:sz w:val="28"/>
      <w:szCs w:val="20"/>
      <w:lang w:eastAsia="ru-RU"/>
    </w:rPr>
  </w:style>
  <w:style w:type="character" w:customStyle="1" w:styleId="a9">
    <w:name w:val="Верхний колонтитул Знак"/>
    <w:basedOn w:val="a0"/>
    <w:link w:val="a8"/>
    <w:uiPriority w:val="99"/>
    <w:semiHidden/>
    <w:rsid w:val="00B46F60"/>
    <w:rPr>
      <w:rFonts w:ascii="Times New Roman" w:eastAsia="Times New Roman" w:hAnsi="Times New Roman" w:cs="Times New Roman"/>
      <w:iCs/>
      <w:sz w:val="28"/>
      <w:szCs w:val="20"/>
      <w:lang w:eastAsia="ru-RU"/>
    </w:rPr>
  </w:style>
  <w:style w:type="paragraph" w:styleId="aa">
    <w:name w:val="footer"/>
    <w:basedOn w:val="a"/>
    <w:link w:val="ab"/>
    <w:uiPriority w:val="99"/>
    <w:unhideWhenUsed/>
    <w:rsid w:val="00B46F60"/>
    <w:pPr>
      <w:tabs>
        <w:tab w:val="center" w:pos="4677"/>
        <w:tab w:val="right" w:pos="9355"/>
      </w:tabs>
      <w:spacing w:after="0" w:line="240" w:lineRule="auto"/>
    </w:pPr>
    <w:rPr>
      <w:rFonts w:ascii="Times New Roman" w:eastAsia="Times New Roman" w:hAnsi="Times New Roman" w:cs="Times New Roman"/>
      <w:iCs/>
      <w:sz w:val="28"/>
      <w:szCs w:val="20"/>
      <w:lang w:eastAsia="ru-RU"/>
    </w:rPr>
  </w:style>
  <w:style w:type="character" w:customStyle="1" w:styleId="ab">
    <w:name w:val="Нижний колонтитул Знак"/>
    <w:basedOn w:val="a0"/>
    <w:link w:val="aa"/>
    <w:uiPriority w:val="99"/>
    <w:rsid w:val="00B46F60"/>
    <w:rPr>
      <w:rFonts w:ascii="Times New Roman" w:eastAsia="Times New Roman" w:hAnsi="Times New Roman" w:cs="Times New Roman"/>
      <w:iCs/>
      <w:sz w:val="28"/>
      <w:szCs w:val="20"/>
      <w:lang w:eastAsia="ru-RU"/>
    </w:rPr>
  </w:style>
  <w:style w:type="paragraph" w:customStyle="1" w:styleId="ac">
    <w:name w:val="Рома"/>
    <w:basedOn w:val="a"/>
    <w:rsid w:val="00B46F60"/>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paragraph" w:styleId="ad">
    <w:name w:val="Body Text Indent"/>
    <w:basedOn w:val="a"/>
    <w:link w:val="ae"/>
    <w:uiPriority w:val="99"/>
    <w:unhideWhenUsed/>
    <w:rsid w:val="00B46F60"/>
    <w:pPr>
      <w:spacing w:after="120"/>
      <w:ind w:left="283" w:firstLine="567"/>
      <w:jc w:val="both"/>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rsid w:val="00B46F60"/>
    <w:rPr>
      <w:rFonts w:ascii="Calibri" w:eastAsia="Times New Roman" w:hAnsi="Calibri" w:cs="Times New Roman"/>
      <w:lang w:eastAsia="ru-RU"/>
    </w:rPr>
  </w:style>
  <w:style w:type="character" w:customStyle="1" w:styleId="FontStyle">
    <w:name w:val="Font Style"/>
    <w:rsid w:val="00B46F60"/>
    <w:rPr>
      <w:color w:val="000000"/>
      <w:sz w:val="24"/>
    </w:rPr>
  </w:style>
  <w:style w:type="paragraph" w:styleId="af">
    <w:name w:val="Body Text"/>
    <w:basedOn w:val="a"/>
    <w:link w:val="af0"/>
    <w:uiPriority w:val="99"/>
    <w:semiHidden/>
    <w:unhideWhenUsed/>
    <w:rsid w:val="00B46F60"/>
    <w:pPr>
      <w:spacing w:after="120"/>
    </w:pPr>
    <w:rPr>
      <w:rFonts w:ascii="Calibri" w:eastAsia="Calibri" w:hAnsi="Calibri" w:cs="Times New Roman"/>
    </w:rPr>
  </w:style>
  <w:style w:type="character" w:customStyle="1" w:styleId="af0">
    <w:name w:val="Основной текст Знак"/>
    <w:basedOn w:val="a0"/>
    <w:link w:val="af"/>
    <w:uiPriority w:val="99"/>
    <w:semiHidden/>
    <w:rsid w:val="00B46F60"/>
    <w:rPr>
      <w:rFonts w:ascii="Calibri" w:eastAsia="Calibri" w:hAnsi="Calibri" w:cs="Times New Roman"/>
    </w:rPr>
  </w:style>
  <w:style w:type="character" w:customStyle="1" w:styleId="apple-converted-space">
    <w:name w:val="apple-converted-space"/>
    <w:basedOn w:val="a0"/>
    <w:rsid w:val="00B46F60"/>
  </w:style>
  <w:style w:type="paragraph" w:styleId="af1">
    <w:name w:val="Balloon Text"/>
    <w:basedOn w:val="a"/>
    <w:link w:val="af2"/>
    <w:uiPriority w:val="99"/>
    <w:semiHidden/>
    <w:unhideWhenUsed/>
    <w:rsid w:val="00B46F60"/>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B46F60"/>
    <w:rPr>
      <w:rFonts w:ascii="Tahoma" w:eastAsia="Calibri" w:hAnsi="Tahoma" w:cs="Tahoma"/>
      <w:sz w:val="16"/>
      <w:szCs w:val="16"/>
    </w:rPr>
  </w:style>
  <w:style w:type="paragraph" w:customStyle="1" w:styleId="12">
    <w:name w:val="Знак Знак Знак Знак Знак Знак Знак Знак Знак Знак Знак Знак1 Знак"/>
    <w:basedOn w:val="a"/>
    <w:rsid w:val="00B46F60"/>
    <w:pPr>
      <w:spacing w:after="160" w:line="240" w:lineRule="exact"/>
      <w:jc w:val="both"/>
    </w:pPr>
    <w:rPr>
      <w:rFonts w:ascii="Verdana" w:eastAsia="Times New Roman" w:hAnsi="Verdana" w:cs="Verdana"/>
      <w:sz w:val="20"/>
      <w:szCs w:val="20"/>
      <w:lang w:val="en-US"/>
    </w:rPr>
  </w:style>
  <w:style w:type="paragraph" w:customStyle="1" w:styleId="1234567890">
    <w:name w:val="1234567890"/>
    <w:basedOn w:val="ad"/>
    <w:link w:val="12345678900"/>
    <w:rsid w:val="00B46F60"/>
    <w:pPr>
      <w:spacing w:after="0" w:line="360" w:lineRule="auto"/>
      <w:ind w:left="0" w:firstLine="709"/>
    </w:pPr>
    <w:rPr>
      <w:rFonts w:ascii="Times New Roman" w:hAnsi="Times New Roman"/>
      <w:sz w:val="28"/>
      <w:szCs w:val="24"/>
    </w:rPr>
  </w:style>
  <w:style w:type="character" w:customStyle="1" w:styleId="12345678900">
    <w:name w:val="1234567890 Знак"/>
    <w:link w:val="1234567890"/>
    <w:rsid w:val="00B46F60"/>
    <w:rPr>
      <w:rFonts w:ascii="Times New Roman" w:eastAsia="Times New Roman" w:hAnsi="Times New Roman" w:cs="Times New Roman"/>
      <w:sz w:val="28"/>
      <w:szCs w:val="24"/>
      <w:lang w:eastAsia="ru-RU"/>
    </w:rPr>
  </w:style>
  <w:style w:type="paragraph" w:styleId="af3">
    <w:name w:val="List Paragraph"/>
    <w:basedOn w:val="a"/>
    <w:uiPriority w:val="34"/>
    <w:qFormat/>
    <w:rsid w:val="00B46F60"/>
    <w:pPr>
      <w:ind w:left="720"/>
      <w:contextualSpacing/>
    </w:pPr>
    <w:rPr>
      <w:rFonts w:ascii="Calibri" w:eastAsia="Calibri" w:hAnsi="Calibri" w:cs="Times New Roman"/>
    </w:rPr>
  </w:style>
  <w:style w:type="paragraph" w:styleId="HTML">
    <w:name w:val="HTML Preformatted"/>
    <w:basedOn w:val="a"/>
    <w:link w:val="HTML0"/>
    <w:uiPriority w:val="99"/>
    <w:unhideWhenUsed/>
    <w:rsid w:val="00B46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46F60"/>
    <w:rPr>
      <w:rFonts w:ascii="Courier New" w:eastAsia="Times New Roman" w:hAnsi="Courier New" w:cs="Courier New"/>
      <w:sz w:val="20"/>
      <w:szCs w:val="20"/>
      <w:lang w:val="ru-RU" w:eastAsia="ru-RU"/>
    </w:rPr>
  </w:style>
  <w:style w:type="character" w:customStyle="1" w:styleId="23">
    <w:name w:val="Текст сноски Знак2"/>
    <w:aliases w:val="Текст сноски Знак1 Знак Знак1 Знак1,Текст сноски Знак Знак Знак Знак1 Знак1,Знак1 Знак Знак Знак Знак1 Знак1,Текст сноски Знак1 Знак Знак,Текст сноски Знак Знак Знак Знак,Знак1 Знак Знак Знак Знак,Текст сноски Знак1 Знак1,Знак Знак1"/>
    <w:locked/>
    <w:rsid w:val="00B46F60"/>
    <w:rPr>
      <w:rFonts w:ascii="Times New Roman" w:hAnsi="Times New Roman"/>
      <w:sz w:val="24"/>
      <w:lang w:val="x-none" w:eastAsia="ru-RU"/>
    </w:rPr>
  </w:style>
  <w:style w:type="paragraph" w:customStyle="1" w:styleId="Normal">
    <w:name w:val="Normal"/>
    <w:rsid w:val="00B46F60"/>
    <w:pPr>
      <w:widowControl w:val="0"/>
      <w:spacing w:after="0" w:line="240" w:lineRule="auto"/>
      <w:jc w:val="both"/>
    </w:pPr>
    <w:rPr>
      <w:rFonts w:ascii="Times New Roman" w:eastAsia="Times New Roman" w:hAnsi="Times New Roman" w:cs="Times New Roman"/>
      <w:snapToGrid w:val="0"/>
      <w:sz w:val="20"/>
      <w:szCs w:val="20"/>
      <w:lang w:val="ru-RU" w:eastAsia="ru-RU"/>
    </w:rPr>
  </w:style>
  <w:style w:type="character" w:styleId="af4">
    <w:name w:val="Hyperlink"/>
    <w:rsid w:val="00B46F60"/>
    <w:rPr>
      <w:color w:val="0000FF"/>
      <w:u w:val="single"/>
    </w:rPr>
  </w:style>
  <w:style w:type="character" w:customStyle="1" w:styleId="9">
    <w:name w:val="Основной текст + 9"/>
    <w:aliases w:val="5 pt1"/>
    <w:rsid w:val="00B46F60"/>
    <w:rPr>
      <w:rFonts w:ascii="Times New Roman" w:hAnsi="Times New Roman" w:cs="Times New Roman"/>
      <w:sz w:val="19"/>
      <w:szCs w:val="19"/>
      <w:u w:val="none"/>
    </w:rPr>
  </w:style>
  <w:style w:type="character" w:styleId="af5">
    <w:name w:val="annotation reference"/>
    <w:rsid w:val="00B46F60"/>
    <w:rPr>
      <w:sz w:val="16"/>
      <w:szCs w:val="16"/>
    </w:rPr>
  </w:style>
  <w:style w:type="paragraph" w:styleId="af6">
    <w:name w:val="annotation text"/>
    <w:basedOn w:val="a"/>
    <w:link w:val="af7"/>
    <w:rsid w:val="00B46F60"/>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f7">
    <w:name w:val="Текст примечания Знак"/>
    <w:basedOn w:val="a0"/>
    <w:link w:val="af6"/>
    <w:rsid w:val="00B46F60"/>
    <w:rPr>
      <w:rFonts w:ascii="Times New Roman" w:eastAsia="Times New Roman" w:hAnsi="Times New Roman" w:cs="Times New Roman"/>
      <w:sz w:val="20"/>
      <w:szCs w:val="20"/>
      <w:lang w:val="ru-RU" w:eastAsia="ar-SA"/>
    </w:rPr>
  </w:style>
  <w:style w:type="paragraph" w:customStyle="1" w:styleId="rvps2">
    <w:name w:val="rvps2"/>
    <w:basedOn w:val="a"/>
    <w:rsid w:val="00B46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endnote text"/>
    <w:basedOn w:val="a"/>
    <w:link w:val="af9"/>
    <w:uiPriority w:val="99"/>
    <w:semiHidden/>
    <w:unhideWhenUsed/>
    <w:rsid w:val="00B46F60"/>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B46F6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ua/economics/2020/04/02/454302_igor_umanskiy_ot_skrutok_nd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29376</Words>
  <Characters>16745</Characters>
  <Application>Microsoft Office Word</Application>
  <DocSecurity>0</DocSecurity>
  <Lines>139</Lines>
  <Paragraphs>92</Paragraphs>
  <ScaleCrop>false</ScaleCrop>
  <Company/>
  <LinksUpToDate>false</LinksUpToDate>
  <CharactersWithSpaces>46029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2020-09-07T10:19:00Z</dcterms:created>
  <dcterms:modified xsi:type="dcterms:W3CDTF">2020-09-07T10:20:00Z</dcterms:modified>
</cp:coreProperties>
</file>