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98" w:rsidRPr="00CC3ED9" w:rsidRDefault="00505798" w:rsidP="00505798">
      <w:pPr>
        <w:suppressAutoHyphens/>
        <w:spacing w:line="360" w:lineRule="auto"/>
        <w:contextualSpacing/>
        <w:jc w:val="center"/>
        <w:rPr>
          <w:b/>
          <w:sz w:val="28"/>
          <w:szCs w:val="28"/>
          <w:lang w:eastAsia="zh-CN"/>
        </w:rPr>
      </w:pPr>
      <w:bookmarkStart w:id="0" w:name="_GoBack"/>
      <w:bookmarkEnd w:id="0"/>
      <w:r w:rsidRPr="00CC3ED9">
        <w:rPr>
          <w:b/>
          <w:sz w:val="28"/>
          <w:szCs w:val="28"/>
          <w:lang w:eastAsia="zh-CN"/>
        </w:rPr>
        <w:t>АНОТАЦІЯ</w:t>
      </w:r>
    </w:p>
    <w:p w:rsidR="00505798" w:rsidRPr="009514F7" w:rsidRDefault="00505798" w:rsidP="00505798">
      <w:pPr>
        <w:suppressAutoHyphens/>
        <w:spacing w:line="360" w:lineRule="auto"/>
        <w:contextualSpacing/>
        <w:jc w:val="center"/>
        <w:rPr>
          <w:b/>
          <w:sz w:val="28"/>
          <w:szCs w:val="28"/>
          <w:lang w:val="ru-RU" w:eastAsia="zh-CN"/>
        </w:rPr>
      </w:pPr>
    </w:p>
    <w:p w:rsidR="00505798" w:rsidRPr="00CC3ED9" w:rsidRDefault="00505798" w:rsidP="00505798">
      <w:pPr>
        <w:suppressAutoHyphens/>
        <w:spacing w:line="360" w:lineRule="auto"/>
        <w:ind w:firstLine="709"/>
        <w:contextualSpacing/>
        <w:jc w:val="both"/>
        <w:rPr>
          <w:sz w:val="28"/>
          <w:szCs w:val="28"/>
          <w:lang w:eastAsia="zh-CN"/>
        </w:rPr>
      </w:pPr>
      <w:proofErr w:type="spellStart"/>
      <w:r w:rsidRPr="00037FBD">
        <w:rPr>
          <w:b/>
          <w:sz w:val="28"/>
          <w:szCs w:val="28"/>
          <w:lang w:eastAsia="zh-CN"/>
        </w:rPr>
        <w:t>Стройко</w:t>
      </w:r>
      <w:proofErr w:type="spellEnd"/>
      <w:r w:rsidRPr="00037FBD">
        <w:rPr>
          <w:b/>
          <w:sz w:val="28"/>
          <w:szCs w:val="28"/>
          <w:lang w:eastAsia="zh-CN"/>
        </w:rPr>
        <w:t xml:space="preserve"> І.А. </w:t>
      </w:r>
      <w:r w:rsidRPr="00037FBD">
        <w:rPr>
          <w:b/>
          <w:sz w:val="28"/>
          <w:szCs w:val="28"/>
        </w:rPr>
        <w:t>Цивільно-правова охорона суміжних прав організацій мовлення</w:t>
      </w:r>
      <w:r w:rsidRPr="00093D5E">
        <w:rPr>
          <w:sz w:val="28"/>
          <w:szCs w:val="28"/>
          <w:lang w:eastAsia="zh-CN"/>
        </w:rPr>
        <w:t>. – Кваліфікаційна наукова праця на правах рукопису.</w:t>
      </w:r>
      <w:r w:rsidRPr="00CC3ED9">
        <w:rPr>
          <w:sz w:val="28"/>
          <w:szCs w:val="28"/>
          <w:lang w:eastAsia="zh-CN"/>
        </w:rPr>
        <w:t xml:space="preserve"> </w:t>
      </w:r>
    </w:p>
    <w:p w:rsidR="00505798" w:rsidRDefault="00505798" w:rsidP="00505798">
      <w:pPr>
        <w:spacing w:line="360" w:lineRule="auto"/>
        <w:ind w:firstLine="709"/>
        <w:contextualSpacing/>
        <w:jc w:val="both"/>
        <w:rPr>
          <w:sz w:val="28"/>
          <w:szCs w:val="28"/>
          <w:lang w:eastAsia="zh-CN"/>
        </w:rPr>
      </w:pPr>
      <w:r w:rsidRPr="00CC3ED9">
        <w:rPr>
          <w:sz w:val="28"/>
          <w:szCs w:val="28"/>
          <w:lang w:eastAsia="zh-CN"/>
        </w:rPr>
        <w:t xml:space="preserve">Дисертація на здобуття наукового ступеня </w:t>
      </w:r>
      <w:r>
        <w:rPr>
          <w:sz w:val="28"/>
          <w:szCs w:val="28"/>
          <w:lang w:val="ru-RU" w:eastAsia="zh-CN"/>
        </w:rPr>
        <w:t xml:space="preserve">доктора </w:t>
      </w:r>
      <w:r w:rsidRPr="000E14AB">
        <w:rPr>
          <w:sz w:val="28"/>
          <w:szCs w:val="28"/>
          <w:lang w:eastAsia="zh-CN"/>
        </w:rPr>
        <w:t>філософії</w:t>
      </w:r>
      <w:r w:rsidRPr="003F214C">
        <w:rPr>
          <w:sz w:val="28"/>
          <w:szCs w:val="28"/>
          <w:lang w:val="ru-RU" w:eastAsia="zh-CN"/>
        </w:rPr>
        <w:t xml:space="preserve"> </w:t>
      </w:r>
      <w:r w:rsidRPr="00CC3ED9">
        <w:rPr>
          <w:sz w:val="28"/>
          <w:szCs w:val="28"/>
          <w:lang w:eastAsia="zh-CN"/>
        </w:rPr>
        <w:t xml:space="preserve">за спеціальністю </w:t>
      </w:r>
      <w:r>
        <w:rPr>
          <w:sz w:val="28"/>
          <w:szCs w:val="28"/>
        </w:rPr>
        <w:t>081 «Право»</w:t>
      </w:r>
      <w:r>
        <w:rPr>
          <w:sz w:val="28"/>
          <w:szCs w:val="28"/>
          <w:lang w:val="ru-RU"/>
        </w:rPr>
        <w:t xml:space="preserve"> </w:t>
      </w:r>
      <w:r>
        <w:rPr>
          <w:sz w:val="28"/>
          <w:szCs w:val="28"/>
        </w:rPr>
        <w:t>(08 – Право)</w:t>
      </w:r>
      <w:r w:rsidRPr="00CC3ED9">
        <w:rPr>
          <w:sz w:val="28"/>
          <w:szCs w:val="28"/>
          <w:lang w:eastAsia="zh-CN"/>
        </w:rPr>
        <w:t>. –</w:t>
      </w:r>
      <w:r>
        <w:rPr>
          <w:sz w:val="28"/>
          <w:szCs w:val="28"/>
          <w:lang w:eastAsia="zh-CN"/>
        </w:rPr>
        <w:t xml:space="preserve"> Київський університет права </w:t>
      </w:r>
      <w:r w:rsidRPr="00CC3ED9">
        <w:rPr>
          <w:sz w:val="28"/>
          <w:szCs w:val="28"/>
          <w:lang w:eastAsia="zh-CN"/>
        </w:rPr>
        <w:t xml:space="preserve">Національної академії наук України; </w:t>
      </w:r>
      <w:r>
        <w:rPr>
          <w:sz w:val="28"/>
          <w:szCs w:val="28"/>
        </w:rPr>
        <w:t xml:space="preserve">Інститут держави і права ім. В.М. Корецького </w:t>
      </w:r>
      <w:r w:rsidRPr="00CC3ED9">
        <w:rPr>
          <w:sz w:val="28"/>
          <w:szCs w:val="28"/>
          <w:lang w:eastAsia="zh-CN"/>
        </w:rPr>
        <w:t xml:space="preserve">Національної академії наук </w:t>
      </w:r>
      <w:r>
        <w:rPr>
          <w:sz w:val="28"/>
          <w:szCs w:val="28"/>
        </w:rPr>
        <w:t>України, Київ,</w:t>
      </w:r>
      <w:r w:rsidRPr="00C60BCE">
        <w:rPr>
          <w:sz w:val="28"/>
          <w:szCs w:val="28"/>
        </w:rPr>
        <w:t xml:space="preserve"> </w:t>
      </w:r>
      <w:r>
        <w:rPr>
          <w:sz w:val="28"/>
          <w:szCs w:val="28"/>
          <w:lang w:eastAsia="zh-CN"/>
        </w:rPr>
        <w:t>2020</w:t>
      </w:r>
      <w:r w:rsidRPr="00CC3ED9">
        <w:rPr>
          <w:sz w:val="28"/>
          <w:szCs w:val="28"/>
          <w:lang w:eastAsia="zh-CN"/>
        </w:rPr>
        <w:t>.</w:t>
      </w:r>
    </w:p>
    <w:p w:rsidR="00505798" w:rsidRDefault="00505798" w:rsidP="00505798">
      <w:pPr>
        <w:spacing w:line="360" w:lineRule="auto"/>
        <w:ind w:firstLine="709"/>
        <w:jc w:val="both"/>
        <w:rPr>
          <w:sz w:val="28"/>
          <w:szCs w:val="28"/>
        </w:rPr>
      </w:pPr>
      <w:r w:rsidRPr="00622DAD">
        <w:rPr>
          <w:sz w:val="28"/>
          <w:szCs w:val="28"/>
        </w:rPr>
        <w:t xml:space="preserve">Дисертація </w:t>
      </w:r>
      <w:r>
        <w:rPr>
          <w:sz w:val="28"/>
          <w:szCs w:val="28"/>
        </w:rPr>
        <w:t xml:space="preserve">є </w:t>
      </w:r>
      <w:r w:rsidRPr="00622DAD">
        <w:rPr>
          <w:sz w:val="28"/>
          <w:szCs w:val="28"/>
        </w:rPr>
        <w:t>комплексн</w:t>
      </w:r>
      <w:r>
        <w:rPr>
          <w:sz w:val="28"/>
          <w:szCs w:val="28"/>
        </w:rPr>
        <w:t>им</w:t>
      </w:r>
      <w:r w:rsidRPr="00622DAD">
        <w:rPr>
          <w:sz w:val="28"/>
          <w:szCs w:val="28"/>
        </w:rPr>
        <w:t xml:space="preserve"> науков</w:t>
      </w:r>
      <w:r>
        <w:rPr>
          <w:sz w:val="28"/>
          <w:szCs w:val="28"/>
        </w:rPr>
        <w:t>им</w:t>
      </w:r>
      <w:r w:rsidRPr="00622DAD">
        <w:rPr>
          <w:sz w:val="28"/>
          <w:szCs w:val="28"/>
        </w:rPr>
        <w:t xml:space="preserve"> </w:t>
      </w:r>
      <w:r>
        <w:rPr>
          <w:sz w:val="28"/>
          <w:szCs w:val="28"/>
        </w:rPr>
        <w:t>дослідженням актуальних проблем цивільно-правових охорони і захисту суміжних прав організацій мовлення, на підставі якого розроблені пропозиції щодо вдосконалення чинного законодавства України та модернізації міжнародного регулювання у вказаній царині.</w:t>
      </w:r>
    </w:p>
    <w:p w:rsidR="00505798" w:rsidRDefault="00505798" w:rsidP="00505798">
      <w:pPr>
        <w:spacing w:line="360" w:lineRule="auto"/>
        <w:ind w:firstLine="709"/>
        <w:jc w:val="both"/>
        <w:rPr>
          <w:sz w:val="28"/>
          <w:szCs w:val="28"/>
          <w:lang w:eastAsia="zh-CN"/>
        </w:rPr>
      </w:pPr>
      <w:r w:rsidRPr="00CC3ED9">
        <w:rPr>
          <w:sz w:val="28"/>
          <w:szCs w:val="28"/>
          <w:lang w:eastAsia="zh-CN"/>
        </w:rPr>
        <w:t xml:space="preserve">Дисертаційне дослідження </w:t>
      </w:r>
      <w:r w:rsidRPr="008F1EDF">
        <w:rPr>
          <w:sz w:val="28"/>
          <w:szCs w:val="28"/>
          <w:lang w:eastAsia="zh-CN"/>
        </w:rPr>
        <w:t>ґрунтується</w:t>
      </w:r>
      <w:r>
        <w:rPr>
          <w:sz w:val="28"/>
          <w:szCs w:val="28"/>
          <w:lang w:eastAsia="zh-CN"/>
        </w:rPr>
        <w:t xml:space="preserve"> на аналізі чинного і перспективного законодавства України у сфері суміжних прав мовників, міжнародних і регіональних угод, розгалуженого і багатогранного правового поля Європейського Союзу, законодавства зарубіжних країн, судової практики України і судових рішень Суду справедливості Європейського Союзу.</w:t>
      </w:r>
      <w:r w:rsidRPr="008F1EDF">
        <w:rPr>
          <w:sz w:val="28"/>
          <w:szCs w:val="28"/>
          <w:lang w:eastAsia="zh-CN"/>
        </w:rPr>
        <w:t xml:space="preserve"> </w:t>
      </w:r>
    </w:p>
    <w:p w:rsidR="00505798" w:rsidRDefault="00505798" w:rsidP="00505798">
      <w:pPr>
        <w:spacing w:line="360" w:lineRule="auto"/>
        <w:ind w:firstLine="709"/>
        <w:jc w:val="both"/>
        <w:rPr>
          <w:sz w:val="28"/>
          <w:szCs w:val="28"/>
        </w:rPr>
      </w:pPr>
      <w:r>
        <w:rPr>
          <w:sz w:val="28"/>
          <w:szCs w:val="28"/>
          <w:lang w:eastAsia="zh-CN"/>
        </w:rPr>
        <w:t xml:space="preserve">Мета і завдання дисертаційного дослідження зумовили його структуру, що складається із вступу, трьох розділів, що містять одинадцять підрозділів, висновків, списку використаних джерел і додатків. Розділи роботи присвячені розгляду наступних проблемних питань: </w:t>
      </w:r>
      <w:r>
        <w:rPr>
          <w:sz w:val="28"/>
          <w:szCs w:val="28"/>
        </w:rPr>
        <w:t>о</w:t>
      </w:r>
      <w:r w:rsidRPr="0091792B">
        <w:rPr>
          <w:sz w:val="28"/>
          <w:szCs w:val="28"/>
        </w:rPr>
        <w:t>собливості розвитку суміжних прав організацій мовлення в умовах конвергенції аудіовізуальних медіа, телекомунікацій та інформаційних технологій</w:t>
      </w:r>
      <w:r>
        <w:rPr>
          <w:sz w:val="28"/>
          <w:szCs w:val="28"/>
        </w:rPr>
        <w:t xml:space="preserve">, </w:t>
      </w:r>
      <w:r w:rsidRPr="0091792B">
        <w:rPr>
          <w:sz w:val="28"/>
          <w:szCs w:val="28"/>
        </w:rPr>
        <w:t xml:space="preserve">зміст суміжних майнових </w:t>
      </w:r>
      <w:r>
        <w:rPr>
          <w:sz w:val="28"/>
          <w:szCs w:val="28"/>
        </w:rPr>
        <w:t xml:space="preserve">і немайнових </w:t>
      </w:r>
      <w:r w:rsidRPr="0091792B">
        <w:rPr>
          <w:sz w:val="28"/>
          <w:szCs w:val="28"/>
        </w:rPr>
        <w:t>прав організацій мовлення</w:t>
      </w:r>
      <w:r>
        <w:rPr>
          <w:sz w:val="28"/>
          <w:szCs w:val="28"/>
        </w:rPr>
        <w:t xml:space="preserve"> та о</w:t>
      </w:r>
      <w:r w:rsidRPr="0091792B">
        <w:rPr>
          <w:sz w:val="28"/>
          <w:szCs w:val="28"/>
        </w:rPr>
        <w:t>собливості цивільно-правового захисту суміжних прав організацій мовлення</w:t>
      </w:r>
      <w:r>
        <w:rPr>
          <w:sz w:val="28"/>
          <w:szCs w:val="28"/>
        </w:rPr>
        <w:t>.</w:t>
      </w:r>
    </w:p>
    <w:p w:rsidR="00505798" w:rsidRPr="00553C91" w:rsidRDefault="00505798" w:rsidP="00505798">
      <w:pPr>
        <w:spacing w:line="360" w:lineRule="auto"/>
        <w:ind w:firstLine="567"/>
        <w:jc w:val="both"/>
        <w:rPr>
          <w:b/>
          <w:sz w:val="28"/>
          <w:szCs w:val="28"/>
        </w:rPr>
      </w:pPr>
      <w:r w:rsidRPr="00553C91">
        <w:rPr>
          <w:sz w:val="28"/>
          <w:szCs w:val="28"/>
        </w:rPr>
        <w:t xml:space="preserve">У </w:t>
      </w:r>
      <w:r w:rsidRPr="00553C91">
        <w:rPr>
          <w:i/>
          <w:sz w:val="28"/>
          <w:szCs w:val="28"/>
        </w:rPr>
        <w:t>Вступі</w:t>
      </w:r>
      <w:r w:rsidRPr="002A2076">
        <w:rPr>
          <w:i/>
          <w:sz w:val="28"/>
          <w:szCs w:val="28"/>
        </w:rPr>
        <w:t xml:space="preserve"> </w:t>
      </w:r>
      <w:r>
        <w:rPr>
          <w:sz w:val="28"/>
          <w:szCs w:val="28"/>
        </w:rPr>
        <w:t xml:space="preserve">обґрунтовано високий ступінь актуальності теми дисертаційного дослідження з огляду на спричинені розвитком технологій </w:t>
      </w:r>
      <w:r w:rsidR="006201E5">
        <w:rPr>
          <w:sz w:val="28"/>
          <w:szCs w:val="28"/>
        </w:rPr>
        <w:t>кардиналь</w:t>
      </w:r>
      <w:r>
        <w:rPr>
          <w:sz w:val="28"/>
          <w:szCs w:val="28"/>
        </w:rPr>
        <w:t>ні зміни у способах споживання традиційного телебачення, виникнення і стрімке поширення нових аудіовізуальних медіа-послуг і трансформацію бізнесових моделей в аудіовізуальному секторі</w:t>
      </w:r>
      <w:r w:rsidRPr="00E177B7">
        <w:rPr>
          <w:sz w:val="28"/>
          <w:szCs w:val="28"/>
        </w:rPr>
        <w:t xml:space="preserve"> </w:t>
      </w:r>
      <w:r>
        <w:rPr>
          <w:sz w:val="28"/>
          <w:szCs w:val="28"/>
        </w:rPr>
        <w:t>у національному і глобальному вимірах.</w:t>
      </w:r>
      <w:r w:rsidRPr="002A2076">
        <w:rPr>
          <w:sz w:val="28"/>
          <w:szCs w:val="28"/>
        </w:rPr>
        <w:t xml:space="preserve"> </w:t>
      </w:r>
      <w:r>
        <w:rPr>
          <w:sz w:val="28"/>
          <w:szCs w:val="28"/>
        </w:rPr>
        <w:t xml:space="preserve">За таких умов </w:t>
      </w:r>
      <w:r>
        <w:rPr>
          <w:sz w:val="28"/>
          <w:szCs w:val="28"/>
        </w:rPr>
        <w:lastRenderedPageBreak/>
        <w:t xml:space="preserve">особливої ваги набуває уніфікований на міжнародному рівні підхід до кожного елементу надаваної організаціям мовлення правової охорони. Актуальність теми дисертації також можна прослідити через призму зобов’язань України перед Європейським Союзом щодо модернізації національного законодавства у сфері суміжних прав організацій мовлення відповідно до стандартів Європейського Союзу. Необхідність розробки теоретичних засад щодо розуміння об’єкту охорони і змісту суміжних прав організацій мовлення, встановлення ефективного механізму захисту суміжних прав мовників, зокрема в Інтернет-середовищі, зумовлена сучасним революційним рівнем технологічного розвитку та випливає з практичних потреб забезпечення охорони прав організацій мовлення. </w:t>
      </w:r>
    </w:p>
    <w:p w:rsidR="00505798" w:rsidRDefault="00505798" w:rsidP="00505798">
      <w:pPr>
        <w:spacing w:line="360" w:lineRule="auto"/>
        <w:ind w:firstLine="709"/>
        <w:jc w:val="both"/>
        <w:rPr>
          <w:sz w:val="28"/>
          <w:szCs w:val="28"/>
        </w:rPr>
      </w:pPr>
      <w:r>
        <w:rPr>
          <w:sz w:val="28"/>
          <w:szCs w:val="28"/>
        </w:rPr>
        <w:t xml:space="preserve">У </w:t>
      </w:r>
      <w:r w:rsidRPr="00C33138">
        <w:rPr>
          <w:i/>
          <w:sz w:val="28"/>
          <w:szCs w:val="28"/>
        </w:rPr>
        <w:t>Розділі 1</w:t>
      </w:r>
      <w:r>
        <w:rPr>
          <w:i/>
          <w:sz w:val="28"/>
          <w:szCs w:val="28"/>
        </w:rPr>
        <w:t xml:space="preserve"> «</w:t>
      </w:r>
      <w:r w:rsidRPr="009B672B">
        <w:rPr>
          <w:i/>
          <w:sz w:val="28"/>
          <w:szCs w:val="28"/>
        </w:rPr>
        <w:t>Особливості розвитку суміжних прав організацій мовлення в умовах конвергенції аудіовізуальних медіа, телекомунікацій та інформаційних технологій</w:t>
      </w:r>
      <w:r>
        <w:rPr>
          <w:i/>
          <w:sz w:val="28"/>
          <w:szCs w:val="28"/>
        </w:rPr>
        <w:t>»</w:t>
      </w:r>
      <w:r w:rsidRPr="00CC3ED9">
        <w:rPr>
          <w:b/>
          <w:sz w:val="28"/>
          <w:szCs w:val="28"/>
          <w:lang w:eastAsia="zh-CN"/>
        </w:rPr>
        <w:t xml:space="preserve"> </w:t>
      </w:r>
      <w:r>
        <w:rPr>
          <w:sz w:val="28"/>
          <w:szCs w:val="28"/>
        </w:rPr>
        <w:t>досліджено зміст об’єкту суміжних прав організацій мовлення з огляду на розвиток інноваційних технологій і конвергенцію аудіовізуальних медіа, телекомунікацій та ІТ-сектору. Сформульовано нове визначення поняття «програма організації мовлення», враховуючи появу подібних до телебачення аудіовізуальних медіа-послуг. Приділено увагу додатковим інтерактивним послугам, що суміщаються або накладаються на основний «традиційний» телевізійний сигнал і несуть будь-який текст, допоміжні дані, графічні елементи, аудіовізуальну інформацію, що передаються від телерадіоорганізації до конкретного телеглядача (“point-to-point”), які також повинні враховуватися при визначенні об’єкту охорони суміжних прав організацій мовлення.</w:t>
      </w:r>
    </w:p>
    <w:p w:rsidR="00505798" w:rsidRDefault="00505798" w:rsidP="00505798">
      <w:pPr>
        <w:spacing w:line="360" w:lineRule="auto"/>
        <w:ind w:firstLine="709"/>
        <w:jc w:val="both"/>
        <w:rPr>
          <w:sz w:val="28"/>
          <w:szCs w:val="28"/>
        </w:rPr>
      </w:pPr>
      <w:r>
        <w:rPr>
          <w:sz w:val="28"/>
          <w:szCs w:val="28"/>
        </w:rPr>
        <w:t>Зроблено висновок про необхідність надання визначення поняття «програма організації мовлення» у новому Договорі ВОІВ про охорону організацій мовлення, оскільки чинні на сьогоднішній день міжнародні угоди не містять чіткої і зрозумілої дефініції цього терміну.</w:t>
      </w:r>
    </w:p>
    <w:p w:rsidR="00505798" w:rsidRDefault="00505798" w:rsidP="00505798">
      <w:pPr>
        <w:spacing w:line="360" w:lineRule="auto"/>
        <w:ind w:firstLine="709"/>
        <w:jc w:val="both"/>
        <w:rPr>
          <w:sz w:val="28"/>
          <w:szCs w:val="28"/>
        </w:rPr>
      </w:pPr>
      <w:r>
        <w:rPr>
          <w:sz w:val="28"/>
          <w:szCs w:val="28"/>
        </w:rPr>
        <w:t>Виявлено і обґрунтовано необхідність надання правової охорони сигналу, що несе програму, до моменту його публічного сповіщення (так званого “pre-</w:t>
      </w:r>
      <w:proofErr w:type="spellStart"/>
      <w:r>
        <w:rPr>
          <w:sz w:val="28"/>
          <w:szCs w:val="28"/>
        </w:rPr>
        <w:t>broadcast</w:t>
      </w:r>
      <w:proofErr w:type="spellEnd"/>
      <w:r>
        <w:rPr>
          <w:sz w:val="28"/>
          <w:szCs w:val="28"/>
        </w:rPr>
        <w:t xml:space="preserve"> </w:t>
      </w:r>
      <w:proofErr w:type="spellStart"/>
      <w:r>
        <w:rPr>
          <w:sz w:val="28"/>
          <w:szCs w:val="28"/>
        </w:rPr>
        <w:t>signal</w:t>
      </w:r>
      <w:proofErr w:type="spellEnd"/>
      <w:r>
        <w:rPr>
          <w:sz w:val="28"/>
          <w:szCs w:val="28"/>
        </w:rPr>
        <w:t xml:space="preserve">”).     </w:t>
      </w:r>
    </w:p>
    <w:p w:rsidR="00505798" w:rsidRDefault="00505798" w:rsidP="00505798">
      <w:pPr>
        <w:spacing w:line="360" w:lineRule="auto"/>
        <w:ind w:firstLine="709"/>
        <w:jc w:val="both"/>
        <w:rPr>
          <w:sz w:val="28"/>
          <w:szCs w:val="28"/>
        </w:rPr>
      </w:pPr>
      <w:r>
        <w:rPr>
          <w:sz w:val="28"/>
          <w:szCs w:val="28"/>
        </w:rPr>
        <w:lastRenderedPageBreak/>
        <w:t xml:space="preserve">У </w:t>
      </w:r>
      <w:r w:rsidR="006201E5">
        <w:rPr>
          <w:sz w:val="28"/>
          <w:szCs w:val="28"/>
        </w:rPr>
        <w:t xml:space="preserve">перспективному законодавстві України </w:t>
      </w:r>
      <w:r>
        <w:rPr>
          <w:sz w:val="28"/>
          <w:szCs w:val="28"/>
        </w:rPr>
        <w:t>запропоновано прямо закріпити принцип охорони кодованих сигналів, що несуть програми організацій мовлення, а також передбачити дієвий механізм захисту технічних засобів, за допомогою яких здійснюється кодування і декодування програм мовників.</w:t>
      </w:r>
    </w:p>
    <w:p w:rsidR="00505798" w:rsidRDefault="00505798" w:rsidP="00505798">
      <w:pPr>
        <w:spacing w:line="360" w:lineRule="auto"/>
        <w:ind w:firstLine="709"/>
        <w:jc w:val="both"/>
        <w:rPr>
          <w:sz w:val="28"/>
          <w:szCs w:val="28"/>
        </w:rPr>
      </w:pPr>
      <w:r>
        <w:rPr>
          <w:sz w:val="28"/>
          <w:szCs w:val="28"/>
        </w:rPr>
        <w:t>Запропоновано доповнити визначення поняття «організація мовлення», наведене у статті 1 Закону України «Про авторське право і суміжні права», організаціями, що мовлять у мережі Інтернет і по будь-яких видах телекомунікаційних мереж, включаючи, зокрема, мережі мобільних стільникових операторів зв’язку.</w:t>
      </w:r>
    </w:p>
    <w:p w:rsidR="00505798" w:rsidRDefault="00505798" w:rsidP="00505798">
      <w:pPr>
        <w:spacing w:line="360" w:lineRule="auto"/>
        <w:ind w:firstLine="709"/>
        <w:jc w:val="both"/>
        <w:rPr>
          <w:sz w:val="28"/>
          <w:szCs w:val="28"/>
        </w:rPr>
      </w:pPr>
      <w:r>
        <w:rPr>
          <w:sz w:val="28"/>
          <w:szCs w:val="28"/>
        </w:rPr>
        <w:t>Досліджено, що чинні міжнародні угоди не містять визначення поняття «організація мовлення», що створює складнощі у правозастосуванні.</w:t>
      </w:r>
    </w:p>
    <w:p w:rsidR="00505798" w:rsidRDefault="00505798" w:rsidP="00505798">
      <w:pPr>
        <w:spacing w:line="360" w:lineRule="auto"/>
        <w:ind w:firstLine="709"/>
        <w:jc w:val="both"/>
        <w:rPr>
          <w:sz w:val="28"/>
          <w:szCs w:val="28"/>
        </w:rPr>
      </w:pPr>
      <w:r>
        <w:rPr>
          <w:sz w:val="28"/>
          <w:szCs w:val="28"/>
        </w:rPr>
        <w:t>Запропоновано дефініцію поняття «організація мовлення» з урахуванням розвитку цифрових технологій мовлення, збільшення ролі Інтернет-телебачення і появи нових способів і форм розповсюдження програм організацій мовлення.</w:t>
      </w:r>
    </w:p>
    <w:p w:rsidR="00505798" w:rsidRDefault="00505798" w:rsidP="00505798">
      <w:pPr>
        <w:spacing w:line="360" w:lineRule="auto"/>
        <w:ind w:firstLine="709"/>
        <w:jc w:val="both"/>
        <w:rPr>
          <w:sz w:val="28"/>
          <w:szCs w:val="28"/>
        </w:rPr>
      </w:pPr>
      <w:r>
        <w:rPr>
          <w:bCs/>
          <w:iCs/>
          <w:sz w:val="28"/>
          <w:szCs w:val="28"/>
        </w:rPr>
        <w:t xml:space="preserve">Сформульовано висновок про те, що законодавство України у частині охорони і захисту суміжних прав на програму організацій мовлення має відповідати нормам Директиви (ЄС) 2019/790 Європейського парламенту і Ради від 17 квітня 2019 року про авторське право і суміжні права в рамках Єдиного цифрового ринку, яка доповнює Директиви 96/9/ЄС і 2001/29/ЄС, зокрема щодо правового регулювання діяльності провайдерів </w:t>
      </w:r>
      <w:r>
        <w:rPr>
          <w:sz w:val="28"/>
          <w:szCs w:val="28"/>
        </w:rPr>
        <w:t xml:space="preserve">послуги з поширення онлайнового контенту. </w:t>
      </w:r>
    </w:p>
    <w:p w:rsidR="00505798" w:rsidRDefault="00505798" w:rsidP="00505798">
      <w:pPr>
        <w:spacing w:line="360" w:lineRule="auto"/>
        <w:ind w:firstLine="709"/>
        <w:jc w:val="both"/>
        <w:rPr>
          <w:bCs/>
          <w:iCs/>
          <w:sz w:val="28"/>
          <w:szCs w:val="28"/>
        </w:rPr>
      </w:pPr>
      <w:r>
        <w:rPr>
          <w:bCs/>
          <w:iCs/>
          <w:sz w:val="28"/>
          <w:szCs w:val="28"/>
        </w:rPr>
        <w:t xml:space="preserve">Термінологія проекту Закону України «Про медіа» повинна враховувати як положення вищезазначеної Директиви Європейського Союзу, так і Директиви (ЄС) 2019/789 Європейського парламенту і Ради від 17 квітня 2019 року, що встановлює застосування положень авторського права і суміжних прав щодо окремих онлайнових трансляцій організацій мовлення і ретрансляції радіо- і телепрограм і доповнює Директиву Ради 93/83/ЄЄС, а також Рекомендації Комісії Європейського Союзу </w:t>
      </w:r>
      <w:r>
        <w:rPr>
          <w:sz w:val="28"/>
          <w:szCs w:val="28"/>
        </w:rPr>
        <w:t xml:space="preserve">стосовно практичного застосування критерію «основне функціональне призначення» визначення терміну </w:t>
      </w:r>
      <w:r>
        <w:rPr>
          <w:bCs/>
          <w:iCs/>
          <w:sz w:val="28"/>
          <w:szCs w:val="28"/>
        </w:rPr>
        <w:t xml:space="preserve">«послуга платформи спільного </w:t>
      </w:r>
      <w:r>
        <w:rPr>
          <w:bCs/>
          <w:iCs/>
          <w:sz w:val="28"/>
          <w:szCs w:val="28"/>
        </w:rPr>
        <w:lastRenderedPageBreak/>
        <w:t xml:space="preserve">доступу до відео» відповідно до Директиви про аудіовізуальні медіа-послуги від </w:t>
      </w:r>
      <w:r>
        <w:rPr>
          <w:sz w:val="28"/>
          <w:szCs w:val="28"/>
        </w:rPr>
        <w:t>2 липня 2020 року</w:t>
      </w:r>
      <w:r>
        <w:rPr>
          <w:bCs/>
          <w:iCs/>
          <w:sz w:val="28"/>
          <w:szCs w:val="28"/>
        </w:rPr>
        <w:t>.</w:t>
      </w:r>
    </w:p>
    <w:p w:rsidR="00505798" w:rsidRDefault="00505798" w:rsidP="00505798">
      <w:pPr>
        <w:spacing w:line="360" w:lineRule="auto"/>
        <w:ind w:firstLine="709"/>
        <w:jc w:val="both"/>
        <w:rPr>
          <w:sz w:val="28"/>
          <w:szCs w:val="28"/>
        </w:rPr>
      </w:pPr>
      <w:r>
        <w:rPr>
          <w:sz w:val="28"/>
          <w:szCs w:val="28"/>
        </w:rPr>
        <w:t xml:space="preserve">З метою уніфікації строків охорони суміжних прав у різних країнах запропоновано передбачити у новій міжнародній угоді про охорону організацій мовлення мінімальний 50-річний строк охорони суміжних прав мовників, що відповідатиме стандартам Європейського Союзу. </w:t>
      </w:r>
    </w:p>
    <w:p w:rsidR="00505798" w:rsidRDefault="00505798" w:rsidP="00505798">
      <w:pPr>
        <w:spacing w:line="360" w:lineRule="auto"/>
        <w:ind w:firstLine="709"/>
        <w:jc w:val="both"/>
        <w:rPr>
          <w:sz w:val="28"/>
          <w:szCs w:val="28"/>
        </w:rPr>
      </w:pPr>
      <w:r>
        <w:rPr>
          <w:sz w:val="28"/>
          <w:szCs w:val="28"/>
        </w:rPr>
        <w:t xml:space="preserve">Сформульовано висновок про те, що у випадку збільшення строку дії суміжних прав для виконавців і виробників фонограм строк охорони суміжних прав для організацій мовлення має бути пропорційно збільшений. </w:t>
      </w:r>
    </w:p>
    <w:p w:rsidR="00505798" w:rsidRDefault="00505798" w:rsidP="00505798">
      <w:pPr>
        <w:spacing w:line="360" w:lineRule="auto"/>
        <w:ind w:firstLine="709"/>
        <w:jc w:val="both"/>
        <w:rPr>
          <w:sz w:val="28"/>
          <w:szCs w:val="28"/>
        </w:rPr>
      </w:pPr>
      <w:r>
        <w:rPr>
          <w:sz w:val="28"/>
          <w:szCs w:val="28"/>
        </w:rPr>
        <w:t>З огляду на значну кількість способів використання програм мовників і необхідність охорони “</w:t>
      </w:r>
      <w:r>
        <w:rPr>
          <w:sz w:val="28"/>
          <w:szCs w:val="28"/>
          <w:lang w:val="en-US"/>
        </w:rPr>
        <w:t>pre</w:t>
      </w:r>
      <w:r>
        <w:rPr>
          <w:sz w:val="28"/>
          <w:szCs w:val="28"/>
        </w:rPr>
        <w:t>-</w:t>
      </w:r>
      <w:r>
        <w:rPr>
          <w:sz w:val="28"/>
          <w:szCs w:val="28"/>
          <w:lang w:val="en-US"/>
        </w:rPr>
        <w:t>broadcast</w:t>
      </w:r>
      <w:r>
        <w:rPr>
          <w:sz w:val="28"/>
          <w:szCs w:val="28"/>
        </w:rPr>
        <w:t xml:space="preserve"> </w:t>
      </w:r>
      <w:r>
        <w:rPr>
          <w:sz w:val="28"/>
          <w:szCs w:val="28"/>
          <w:lang w:val="en-US"/>
        </w:rPr>
        <w:t>signals</w:t>
      </w:r>
      <w:r>
        <w:rPr>
          <w:sz w:val="28"/>
          <w:szCs w:val="28"/>
        </w:rPr>
        <w:t>”, запропоновано замінити момент першого публічного сповіщення у формулюванні початку перебігу строку охорони на момент створення програми.</w:t>
      </w:r>
    </w:p>
    <w:p w:rsidR="00505798" w:rsidRDefault="00505798" w:rsidP="00505798">
      <w:pPr>
        <w:spacing w:line="360" w:lineRule="auto"/>
        <w:ind w:firstLine="709"/>
        <w:jc w:val="both"/>
        <w:rPr>
          <w:sz w:val="28"/>
          <w:szCs w:val="28"/>
        </w:rPr>
      </w:pPr>
      <w:r>
        <w:rPr>
          <w:sz w:val="28"/>
          <w:szCs w:val="28"/>
        </w:rPr>
        <w:t xml:space="preserve">Сформульовано висновок про те, що існуючий рівень міжнародної охорони прав організацій мовлення не відповідає сьогоденним реаліям і не може гарантувати ефективний механізм реалізації і захисту прав мовників. Регулювання суміжних прав мовників у міжнародному контексті поступається регулюванню цих відносин, нещодавно запровадженому в Європейському Союзі. Особлива небезпека ситуації полягає ще і у тому, що з розвитком Інтернету, мобільних мереж та інших платформ дистрибуції радіо- і телевізійного контенту піратство та інші порушення прав організацій мовлення починають носити транснаціональний характер. Саме забезпечення належного рівня міжнародно-правової охорони допоможе успішній боротьбі з цими негативними проявами, зважаючи на необхідність єдиного та уніфікованого підходу до розв’язання згаданої проблеми.    </w:t>
      </w:r>
    </w:p>
    <w:p w:rsidR="00505798" w:rsidRPr="00990116" w:rsidRDefault="00505798" w:rsidP="00505798">
      <w:pPr>
        <w:spacing w:line="360" w:lineRule="auto"/>
        <w:ind w:firstLine="709"/>
        <w:jc w:val="both"/>
        <w:rPr>
          <w:sz w:val="28"/>
          <w:szCs w:val="28"/>
        </w:rPr>
      </w:pPr>
      <w:r>
        <w:rPr>
          <w:sz w:val="28"/>
          <w:szCs w:val="28"/>
        </w:rPr>
        <w:t xml:space="preserve">У </w:t>
      </w:r>
      <w:r w:rsidRPr="003F604D">
        <w:rPr>
          <w:i/>
          <w:sz w:val="28"/>
          <w:szCs w:val="28"/>
        </w:rPr>
        <w:t>Розділі 2 «Зміст суміжних майнових і немайнових прав організацій мовлення»</w:t>
      </w:r>
      <w:r>
        <w:rPr>
          <w:i/>
          <w:sz w:val="28"/>
          <w:szCs w:val="28"/>
        </w:rPr>
        <w:t xml:space="preserve"> </w:t>
      </w:r>
      <w:r>
        <w:rPr>
          <w:sz w:val="28"/>
          <w:szCs w:val="28"/>
        </w:rPr>
        <w:t xml:space="preserve">досліджено юридичну природу прав організацій мовлення. Зроблено висновок про те, що </w:t>
      </w:r>
      <w:r w:rsidRPr="005F293B">
        <w:rPr>
          <w:sz w:val="28"/>
          <w:szCs w:val="28"/>
        </w:rPr>
        <w:t>охорона прав організацій мовлення має базуватися на доктрині суміжних прав</w:t>
      </w:r>
      <w:r>
        <w:rPr>
          <w:sz w:val="28"/>
          <w:szCs w:val="28"/>
        </w:rPr>
        <w:t xml:space="preserve"> як на міжнародному рівні, так і у законодавчому полі </w:t>
      </w:r>
      <w:r>
        <w:rPr>
          <w:sz w:val="28"/>
          <w:szCs w:val="28"/>
        </w:rPr>
        <w:lastRenderedPageBreak/>
        <w:t>окремої країни</w:t>
      </w:r>
      <w:r w:rsidRPr="005F293B">
        <w:rPr>
          <w:sz w:val="28"/>
          <w:szCs w:val="28"/>
        </w:rPr>
        <w:t>. Законодавство про захист від недобросовісної конкуренції, про телекомунікації і т.д. повинно відігравати допоміжну роль у цьому процесі.</w:t>
      </w:r>
    </w:p>
    <w:p w:rsidR="00505798" w:rsidRDefault="00505798" w:rsidP="00505798">
      <w:pPr>
        <w:spacing w:line="360" w:lineRule="auto"/>
        <w:ind w:firstLine="720"/>
        <w:jc w:val="both"/>
        <w:rPr>
          <w:sz w:val="28"/>
          <w:szCs w:val="28"/>
          <w:shd w:val="clear" w:color="auto" w:fill="FFFFFF"/>
        </w:rPr>
      </w:pPr>
      <w:r>
        <w:rPr>
          <w:sz w:val="28"/>
          <w:szCs w:val="28"/>
        </w:rPr>
        <w:t xml:space="preserve">Запропонована нова редакція частини третьої статті 38 Закону України «Про авторське право і суміжні права» стосовно права на згадування вихідних даних телерадіоорганізації </w:t>
      </w:r>
      <w:r>
        <w:rPr>
          <w:sz w:val="28"/>
          <w:szCs w:val="28"/>
          <w:shd w:val="clear" w:color="auto" w:fill="FFFFFF"/>
        </w:rPr>
        <w:t xml:space="preserve">(найменування, логотипу, позивних, тощо) </w:t>
      </w:r>
      <w:r w:rsidRPr="00303C75">
        <w:rPr>
          <w:sz w:val="28"/>
          <w:szCs w:val="28"/>
          <w:shd w:val="clear" w:color="auto" w:fill="FFFFFF"/>
        </w:rPr>
        <w:t>у зв’язку</w:t>
      </w:r>
      <w:r>
        <w:rPr>
          <w:sz w:val="28"/>
          <w:szCs w:val="28"/>
          <w:shd w:val="clear" w:color="auto" w:fill="FFFFFF"/>
        </w:rPr>
        <w:t xml:space="preserve"> з використанням власної програми третьою особою.</w:t>
      </w:r>
    </w:p>
    <w:p w:rsidR="00505798" w:rsidRDefault="00505798" w:rsidP="00505798">
      <w:pPr>
        <w:spacing w:line="360" w:lineRule="auto"/>
        <w:ind w:firstLine="720"/>
        <w:jc w:val="both"/>
        <w:rPr>
          <w:sz w:val="28"/>
          <w:szCs w:val="28"/>
        </w:rPr>
      </w:pPr>
      <w:r>
        <w:rPr>
          <w:sz w:val="28"/>
          <w:szCs w:val="28"/>
        </w:rPr>
        <w:t>Встановле</w:t>
      </w:r>
      <w:r w:rsidRPr="005F293B">
        <w:rPr>
          <w:sz w:val="28"/>
          <w:szCs w:val="28"/>
        </w:rPr>
        <w:t>но, що на сьогоднішній день жодна міжнародна чи регіональна угода, що регулює суміжні права організацій мовлення, не регламентує немайнове право телерадіо</w:t>
      </w:r>
      <w:r>
        <w:rPr>
          <w:sz w:val="28"/>
          <w:szCs w:val="28"/>
        </w:rPr>
        <w:t>о</w:t>
      </w:r>
      <w:r w:rsidRPr="005F293B">
        <w:rPr>
          <w:sz w:val="28"/>
          <w:szCs w:val="28"/>
        </w:rPr>
        <w:t>рганізації на згадування найменування, логотипу, позивних або інших вихідних даних такого мовника у випадках публічного сповіщення або іншого використання програми.</w:t>
      </w:r>
      <w:r>
        <w:rPr>
          <w:sz w:val="28"/>
          <w:szCs w:val="28"/>
        </w:rPr>
        <w:t xml:space="preserve"> Запропоновано передбачити вказане</w:t>
      </w:r>
      <w:r w:rsidRPr="000545EC">
        <w:rPr>
          <w:sz w:val="28"/>
          <w:szCs w:val="28"/>
        </w:rPr>
        <w:t xml:space="preserve"> немайнове право мовників у новому Договорі ВОІВ про охорону організацій мовлення.</w:t>
      </w:r>
    </w:p>
    <w:p w:rsidR="00505798" w:rsidRDefault="00505798" w:rsidP="00505798">
      <w:pPr>
        <w:pStyle w:val="a4"/>
        <w:tabs>
          <w:tab w:val="left" w:pos="567"/>
        </w:tabs>
        <w:spacing w:line="360" w:lineRule="auto"/>
        <w:ind w:left="0" w:firstLine="709"/>
        <w:jc w:val="both"/>
        <w:rPr>
          <w:rFonts w:ascii="Times New Roman" w:hAnsi="Times New Roman" w:cs="Times New Roman"/>
          <w:bCs/>
          <w:snapToGrid w:val="0"/>
          <w:sz w:val="28"/>
          <w:szCs w:val="28"/>
          <w:lang w:val="uk-UA"/>
        </w:rPr>
      </w:pPr>
      <w:r>
        <w:rPr>
          <w:rFonts w:ascii="Times New Roman" w:hAnsi="Times New Roman" w:cs="Times New Roman"/>
          <w:bCs/>
          <w:snapToGrid w:val="0"/>
          <w:sz w:val="28"/>
          <w:szCs w:val="28"/>
          <w:lang w:val="uk-UA"/>
        </w:rPr>
        <w:t>Досліджено, що з</w:t>
      </w:r>
      <w:r w:rsidRPr="00E96CDA">
        <w:rPr>
          <w:rFonts w:ascii="Times New Roman" w:hAnsi="Times New Roman" w:cs="Times New Roman"/>
          <w:bCs/>
          <w:snapToGrid w:val="0"/>
          <w:sz w:val="28"/>
          <w:szCs w:val="28"/>
          <w:lang w:val="uk-UA"/>
        </w:rPr>
        <w:t>аконодавство України, що регулює суміжні права мовників, недостатньо відповідає викликам, що постають у зв’язку з розвитком новітніх технологій, зокрема у відношенні закріплення обсягу і змісту суміжних прав організацій мовлення.</w:t>
      </w:r>
      <w:r>
        <w:rPr>
          <w:rFonts w:ascii="Times New Roman" w:hAnsi="Times New Roman" w:cs="Times New Roman"/>
          <w:bCs/>
          <w:snapToGrid w:val="0"/>
          <w:sz w:val="28"/>
          <w:szCs w:val="28"/>
          <w:lang w:val="uk-UA"/>
        </w:rPr>
        <w:t xml:space="preserve"> </w:t>
      </w:r>
    </w:p>
    <w:p w:rsidR="00505798" w:rsidRDefault="00505798" w:rsidP="00505798">
      <w:pPr>
        <w:pStyle w:val="a4"/>
        <w:tabs>
          <w:tab w:val="left" w:pos="567"/>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bCs/>
          <w:snapToGrid w:val="0"/>
          <w:sz w:val="28"/>
          <w:szCs w:val="28"/>
          <w:lang w:val="uk-UA"/>
        </w:rPr>
        <w:t xml:space="preserve">Сформульовано висновок про те, що </w:t>
      </w:r>
      <w:r w:rsidRPr="00B60FBF">
        <w:rPr>
          <w:rFonts w:ascii="Times New Roman" w:hAnsi="Times New Roman"/>
          <w:sz w:val="28"/>
          <w:szCs w:val="28"/>
          <w:lang w:val="uk-UA"/>
        </w:rPr>
        <w:t xml:space="preserve">Україна </w:t>
      </w:r>
      <w:r>
        <w:rPr>
          <w:rFonts w:ascii="Times New Roman" w:hAnsi="Times New Roman"/>
          <w:sz w:val="28"/>
          <w:szCs w:val="28"/>
          <w:lang w:val="uk-UA"/>
        </w:rPr>
        <w:t xml:space="preserve">повинна </w:t>
      </w:r>
      <w:proofErr w:type="spellStart"/>
      <w:r w:rsidRPr="00B60FBF">
        <w:rPr>
          <w:rFonts w:ascii="Times New Roman" w:hAnsi="Times New Roman"/>
          <w:sz w:val="28"/>
          <w:szCs w:val="28"/>
          <w:lang w:val="uk-UA"/>
        </w:rPr>
        <w:t>імплементува</w:t>
      </w:r>
      <w:r>
        <w:rPr>
          <w:rFonts w:ascii="Times New Roman" w:hAnsi="Times New Roman"/>
          <w:sz w:val="28"/>
          <w:szCs w:val="28"/>
          <w:lang w:val="uk-UA"/>
        </w:rPr>
        <w:t>ти</w:t>
      </w:r>
      <w:proofErr w:type="spellEnd"/>
      <w:r w:rsidRPr="00B60FBF">
        <w:rPr>
          <w:rFonts w:ascii="Times New Roman" w:hAnsi="Times New Roman"/>
          <w:sz w:val="28"/>
          <w:szCs w:val="28"/>
          <w:lang w:val="uk-UA"/>
        </w:rPr>
        <w:t xml:space="preserve"> у національне законодавство </w:t>
      </w:r>
      <w:r>
        <w:rPr>
          <w:rFonts w:ascii="Times New Roman" w:hAnsi="Times New Roman"/>
          <w:sz w:val="28"/>
          <w:szCs w:val="28"/>
          <w:lang w:val="uk-UA"/>
        </w:rPr>
        <w:t>ряд важливих положень</w:t>
      </w:r>
      <w:r w:rsidRPr="00B60FBF">
        <w:rPr>
          <w:rFonts w:ascii="Times New Roman" w:hAnsi="Times New Roman"/>
          <w:sz w:val="28"/>
          <w:szCs w:val="28"/>
          <w:lang w:val="uk-UA"/>
        </w:rPr>
        <w:t>, прямо передбачен</w:t>
      </w:r>
      <w:r>
        <w:rPr>
          <w:rFonts w:ascii="Times New Roman" w:hAnsi="Times New Roman"/>
          <w:sz w:val="28"/>
          <w:szCs w:val="28"/>
          <w:lang w:val="uk-UA"/>
        </w:rPr>
        <w:t>их в</w:t>
      </w:r>
      <w:r w:rsidRPr="00B60FBF">
        <w:rPr>
          <w:rFonts w:ascii="Times New Roman" w:hAnsi="Times New Roman"/>
          <w:sz w:val="28"/>
          <w:szCs w:val="28"/>
          <w:lang w:val="uk-UA"/>
        </w:rPr>
        <w:t xml:space="preserve"> Угод</w:t>
      </w:r>
      <w:r>
        <w:rPr>
          <w:rFonts w:ascii="Times New Roman" w:hAnsi="Times New Roman"/>
          <w:sz w:val="28"/>
          <w:szCs w:val="28"/>
          <w:lang w:val="uk-UA"/>
        </w:rPr>
        <w:t>і</w:t>
      </w:r>
      <w:r w:rsidRPr="00B60FBF">
        <w:rPr>
          <w:rFonts w:ascii="Times New Roman" w:hAnsi="Times New Roman"/>
          <w:sz w:val="28"/>
          <w:szCs w:val="28"/>
          <w:lang w:val="uk-UA"/>
        </w:rPr>
        <w:t xml:space="preserve"> про асоціацію</w:t>
      </w:r>
      <w:r>
        <w:rPr>
          <w:rFonts w:ascii="Times New Roman" w:hAnsi="Times New Roman"/>
          <w:sz w:val="28"/>
          <w:szCs w:val="28"/>
          <w:lang w:val="uk-UA"/>
        </w:rPr>
        <w:t xml:space="preserve"> </w:t>
      </w:r>
      <w:r w:rsidRPr="00835A88">
        <w:rPr>
          <w:rStyle w:val="rvts23"/>
          <w:rFonts w:ascii="Times New Roman" w:hAnsi="Times New Roman"/>
          <w:sz w:val="28"/>
          <w:szCs w:val="28"/>
          <w:lang w:val="uk-UA"/>
        </w:rPr>
        <w:t>між Україною, з однієї сторони, та Європейським Союзом, Європейським співтовариством з атомної енергії і їхніми державами-членами, з іншої сторони</w:t>
      </w:r>
      <w:r w:rsidRPr="00B60FBF">
        <w:rPr>
          <w:rFonts w:ascii="Times New Roman" w:hAnsi="Times New Roman"/>
          <w:sz w:val="28"/>
          <w:szCs w:val="28"/>
          <w:lang w:val="uk-UA"/>
        </w:rPr>
        <w:t xml:space="preserve">, зокрема необхідно переглянути і </w:t>
      </w:r>
      <w:r>
        <w:rPr>
          <w:rFonts w:ascii="Times New Roman" w:hAnsi="Times New Roman"/>
          <w:sz w:val="28"/>
          <w:szCs w:val="28"/>
          <w:lang w:val="uk-UA"/>
        </w:rPr>
        <w:t xml:space="preserve">суттєво </w:t>
      </w:r>
      <w:r w:rsidRPr="00B60FBF">
        <w:rPr>
          <w:rFonts w:ascii="Times New Roman" w:hAnsi="Times New Roman"/>
          <w:sz w:val="28"/>
          <w:szCs w:val="28"/>
          <w:lang w:val="uk-UA"/>
        </w:rPr>
        <w:t xml:space="preserve">доповнити існуючі майнові повноваження </w:t>
      </w:r>
      <w:r>
        <w:rPr>
          <w:rFonts w:ascii="Times New Roman" w:hAnsi="Times New Roman"/>
          <w:sz w:val="28"/>
          <w:szCs w:val="28"/>
          <w:lang w:val="uk-UA"/>
        </w:rPr>
        <w:t>телерадіоорганізацій</w:t>
      </w:r>
      <w:r w:rsidRPr="00B60FBF">
        <w:rPr>
          <w:rFonts w:ascii="Times New Roman" w:hAnsi="Times New Roman"/>
          <w:sz w:val="28"/>
          <w:szCs w:val="28"/>
          <w:lang w:val="uk-UA"/>
        </w:rPr>
        <w:t xml:space="preserve"> таким чином, що</w:t>
      </w:r>
      <w:r>
        <w:rPr>
          <w:rFonts w:ascii="Times New Roman" w:hAnsi="Times New Roman"/>
          <w:sz w:val="28"/>
          <w:szCs w:val="28"/>
          <w:lang w:val="uk-UA"/>
        </w:rPr>
        <w:t>б</w:t>
      </w:r>
      <w:r w:rsidRPr="00B60FBF">
        <w:rPr>
          <w:rFonts w:ascii="Times New Roman" w:hAnsi="Times New Roman"/>
          <w:sz w:val="28"/>
          <w:szCs w:val="28"/>
          <w:lang w:val="uk-UA"/>
        </w:rPr>
        <w:t xml:space="preserve"> вони відповідали</w:t>
      </w:r>
      <w:r>
        <w:rPr>
          <w:rFonts w:ascii="Times New Roman" w:hAnsi="Times New Roman"/>
          <w:sz w:val="28"/>
          <w:szCs w:val="28"/>
          <w:lang w:val="uk-UA"/>
        </w:rPr>
        <w:t xml:space="preserve"> інноваціям у сфері технологій</w:t>
      </w:r>
      <w:r w:rsidRPr="00B60FBF">
        <w:rPr>
          <w:rFonts w:ascii="Times New Roman" w:hAnsi="Times New Roman"/>
          <w:sz w:val="28"/>
          <w:szCs w:val="28"/>
          <w:lang w:val="uk-UA"/>
        </w:rPr>
        <w:t>.</w:t>
      </w:r>
    </w:p>
    <w:p w:rsidR="00505798" w:rsidRDefault="00505798" w:rsidP="00505798">
      <w:pPr>
        <w:pStyle w:val="a4"/>
        <w:spacing w:line="360" w:lineRule="auto"/>
        <w:ind w:left="0" w:firstLine="709"/>
        <w:jc w:val="both"/>
        <w:rPr>
          <w:rFonts w:ascii="Times New Roman" w:hAnsi="Times New Roman" w:cs="Times New Roman"/>
          <w:sz w:val="28"/>
          <w:szCs w:val="28"/>
          <w:lang w:val="uk-UA"/>
        </w:rPr>
      </w:pPr>
      <w:r>
        <w:rPr>
          <w:rFonts w:ascii="Times New Roman" w:hAnsi="Times New Roman" w:cs="Times New Roman"/>
          <w:bCs/>
          <w:snapToGrid w:val="0"/>
          <w:sz w:val="28"/>
          <w:szCs w:val="28"/>
          <w:lang w:val="uk-UA"/>
        </w:rPr>
        <w:t xml:space="preserve">Запропоновано доповнити </w:t>
      </w:r>
      <w:r w:rsidRPr="00A979A0">
        <w:rPr>
          <w:rFonts w:ascii="Times New Roman" w:hAnsi="Times New Roman" w:cs="Times New Roman"/>
          <w:sz w:val="28"/>
          <w:szCs w:val="28"/>
          <w:lang w:val="uk-UA"/>
        </w:rPr>
        <w:t xml:space="preserve">перелік майнових повноважень організацій мовлення, наведений у Законі України «Про авторське право і суміжні права», правом на розповсюдження програми, включаючи, у тому числі, право на доведення програми до відома публіки таким чином, що її представники можуть здійснити доступ до неї з будь-якого місця і в будь-який час за власним вибором. </w:t>
      </w:r>
    </w:p>
    <w:p w:rsidR="00505798" w:rsidRDefault="00505798" w:rsidP="00505798">
      <w:pPr>
        <w:pStyle w:val="a4"/>
        <w:tabs>
          <w:tab w:val="left" w:pos="567"/>
        </w:tabs>
        <w:spacing w:line="360" w:lineRule="auto"/>
        <w:ind w:left="0" w:firstLine="709"/>
        <w:jc w:val="both"/>
        <w:rPr>
          <w:rFonts w:ascii="Times New Roman" w:hAnsi="Times New Roman" w:cs="Times New Roman"/>
          <w:bCs/>
          <w:iCs/>
          <w:sz w:val="28"/>
          <w:szCs w:val="28"/>
          <w:lang w:val="uk-UA"/>
        </w:rPr>
      </w:pPr>
      <w:r w:rsidRPr="00203424">
        <w:rPr>
          <w:rFonts w:ascii="Times New Roman" w:hAnsi="Times New Roman" w:cs="Times New Roman"/>
          <w:sz w:val="28"/>
          <w:szCs w:val="28"/>
          <w:lang w:val="uk-UA"/>
        </w:rPr>
        <w:t>Зроблено висновок про те,</w:t>
      </w:r>
      <w:r w:rsidRPr="00203424">
        <w:rPr>
          <w:rFonts w:ascii="Times New Roman" w:hAnsi="Times New Roman" w:cs="Times New Roman"/>
          <w:bCs/>
          <w:iCs/>
          <w:sz w:val="28"/>
          <w:szCs w:val="28"/>
          <w:lang w:val="uk-UA"/>
        </w:rPr>
        <w:t xml:space="preserve"> що необхідно усунути термінологічну неузгодженість Законів України «Про авторське право і суміжні права» і «Про </w:t>
      </w:r>
      <w:r w:rsidRPr="00203424">
        <w:rPr>
          <w:rFonts w:ascii="Times New Roman" w:hAnsi="Times New Roman" w:cs="Times New Roman"/>
          <w:bCs/>
          <w:iCs/>
          <w:sz w:val="28"/>
          <w:szCs w:val="28"/>
          <w:lang w:val="uk-UA"/>
        </w:rPr>
        <w:lastRenderedPageBreak/>
        <w:t xml:space="preserve">телебачення і радіомовлення» у частині дефініцій «кабельна ретрансляція» і «ретрансляція». </w:t>
      </w:r>
      <w:r>
        <w:rPr>
          <w:rFonts w:ascii="Times New Roman" w:hAnsi="Times New Roman" w:cs="Times New Roman"/>
          <w:bCs/>
          <w:iCs/>
          <w:sz w:val="28"/>
          <w:szCs w:val="28"/>
          <w:lang w:val="uk-UA"/>
        </w:rPr>
        <w:t>Запропоновано доповнити в</w:t>
      </w:r>
      <w:r w:rsidRPr="00203424">
        <w:rPr>
          <w:rFonts w:ascii="Times New Roman" w:hAnsi="Times New Roman" w:cs="Times New Roman"/>
          <w:bCs/>
          <w:iCs/>
          <w:sz w:val="28"/>
          <w:szCs w:val="28"/>
          <w:lang w:val="uk-UA"/>
        </w:rPr>
        <w:t>изначення терміну «ретрансляція» можливістю поширювати сигнали мовників у мережі Інтернет</w:t>
      </w:r>
      <w:r>
        <w:rPr>
          <w:rFonts w:ascii="Times New Roman" w:hAnsi="Times New Roman" w:cs="Times New Roman"/>
          <w:bCs/>
          <w:iCs/>
          <w:sz w:val="28"/>
          <w:szCs w:val="28"/>
          <w:lang w:val="uk-UA"/>
        </w:rPr>
        <w:t>, що відповідатиме новелам правового регулювання в Європейському Союзі</w:t>
      </w:r>
      <w:r w:rsidRPr="00203424">
        <w:rPr>
          <w:rFonts w:ascii="Times New Roman" w:hAnsi="Times New Roman" w:cs="Times New Roman"/>
          <w:bCs/>
          <w:iCs/>
          <w:sz w:val="28"/>
          <w:szCs w:val="28"/>
          <w:lang w:val="uk-UA"/>
        </w:rPr>
        <w:t>.</w:t>
      </w:r>
    </w:p>
    <w:p w:rsidR="00505798" w:rsidRDefault="00505798" w:rsidP="00505798">
      <w:pPr>
        <w:pStyle w:val="a4"/>
        <w:tabs>
          <w:tab w:val="left" w:pos="567"/>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Сформульовано висновок про те, що н</w:t>
      </w:r>
      <w:r w:rsidRPr="00F53860">
        <w:rPr>
          <w:rFonts w:ascii="Times New Roman" w:hAnsi="Times New Roman" w:cs="Times New Roman"/>
          <w:sz w:val="28"/>
          <w:szCs w:val="28"/>
          <w:lang w:val="uk-UA"/>
        </w:rPr>
        <w:t xml:space="preserve">а міжнародному рівні </w:t>
      </w:r>
      <w:r>
        <w:rPr>
          <w:rFonts w:ascii="Times New Roman" w:hAnsi="Times New Roman" w:cs="Times New Roman"/>
          <w:sz w:val="28"/>
          <w:szCs w:val="28"/>
          <w:lang w:val="uk-UA"/>
        </w:rPr>
        <w:t xml:space="preserve">і у національному законодавстві України </w:t>
      </w:r>
      <w:r w:rsidRPr="00F53860">
        <w:rPr>
          <w:rFonts w:ascii="Times New Roman" w:hAnsi="Times New Roman" w:cs="Times New Roman"/>
          <w:sz w:val="28"/>
          <w:szCs w:val="28"/>
          <w:lang w:val="uk-UA"/>
        </w:rPr>
        <w:t xml:space="preserve">необхідно передбачити закріплення за телерадіоорганізаціями більшого обсягу </w:t>
      </w:r>
      <w:r>
        <w:rPr>
          <w:rFonts w:ascii="Times New Roman" w:hAnsi="Times New Roman" w:cs="Times New Roman"/>
          <w:sz w:val="28"/>
          <w:szCs w:val="28"/>
          <w:lang w:val="uk-UA"/>
        </w:rPr>
        <w:t xml:space="preserve">майнових </w:t>
      </w:r>
      <w:r w:rsidRPr="00F53860">
        <w:rPr>
          <w:rFonts w:ascii="Times New Roman" w:hAnsi="Times New Roman" w:cs="Times New Roman"/>
          <w:sz w:val="28"/>
          <w:szCs w:val="28"/>
          <w:lang w:val="uk-UA"/>
        </w:rPr>
        <w:t>прав, ніж існує зараз: право на “</w:t>
      </w:r>
      <w:r w:rsidRPr="00F53860">
        <w:rPr>
          <w:rFonts w:ascii="Times New Roman" w:hAnsi="Times New Roman" w:cs="Times New Roman"/>
          <w:sz w:val="28"/>
          <w:szCs w:val="28"/>
          <w:lang w:val="en-US"/>
        </w:rPr>
        <w:t>deferred</w:t>
      </w:r>
      <w:r w:rsidRPr="00F53860">
        <w:rPr>
          <w:rFonts w:ascii="Times New Roman" w:hAnsi="Times New Roman" w:cs="Times New Roman"/>
          <w:sz w:val="28"/>
          <w:szCs w:val="28"/>
          <w:lang w:val="uk-UA"/>
        </w:rPr>
        <w:t xml:space="preserve"> </w:t>
      </w:r>
      <w:r w:rsidRPr="00F53860">
        <w:rPr>
          <w:rFonts w:ascii="Times New Roman" w:hAnsi="Times New Roman" w:cs="Times New Roman"/>
          <w:sz w:val="28"/>
          <w:szCs w:val="28"/>
          <w:lang w:val="en-US"/>
        </w:rPr>
        <w:t>retransmission</w:t>
      </w:r>
      <w:r w:rsidRPr="00F53860">
        <w:rPr>
          <w:rFonts w:ascii="Times New Roman" w:hAnsi="Times New Roman" w:cs="Times New Roman"/>
          <w:sz w:val="28"/>
          <w:szCs w:val="28"/>
          <w:lang w:val="uk-UA"/>
        </w:rPr>
        <w:t>” (</w:t>
      </w:r>
      <w:r>
        <w:rPr>
          <w:rFonts w:ascii="Times New Roman" w:hAnsi="Times New Roman" w:cs="Times New Roman"/>
          <w:sz w:val="28"/>
          <w:szCs w:val="28"/>
          <w:lang w:val="uk-UA"/>
        </w:rPr>
        <w:t>«</w:t>
      </w:r>
      <w:r w:rsidRPr="00F53860">
        <w:rPr>
          <w:rFonts w:ascii="Times New Roman" w:hAnsi="Times New Roman" w:cs="Times New Roman"/>
          <w:sz w:val="28"/>
          <w:szCs w:val="28"/>
          <w:lang w:val="uk-UA"/>
        </w:rPr>
        <w:t>ретрансляцію із затримкою</w:t>
      </w:r>
      <w:r>
        <w:rPr>
          <w:rFonts w:ascii="Times New Roman" w:hAnsi="Times New Roman" w:cs="Times New Roman"/>
          <w:sz w:val="28"/>
          <w:szCs w:val="28"/>
          <w:lang w:val="uk-UA"/>
        </w:rPr>
        <w:t>»</w:t>
      </w:r>
      <w:r w:rsidRPr="00F53860">
        <w:rPr>
          <w:rFonts w:ascii="Times New Roman" w:hAnsi="Times New Roman" w:cs="Times New Roman"/>
          <w:sz w:val="28"/>
          <w:szCs w:val="28"/>
          <w:lang w:val="uk-UA"/>
        </w:rPr>
        <w:t>),</w:t>
      </w:r>
      <w:r>
        <w:rPr>
          <w:rFonts w:ascii="Times New Roman" w:hAnsi="Times New Roman" w:cs="Times New Roman"/>
          <w:sz w:val="28"/>
          <w:szCs w:val="28"/>
          <w:lang w:val="uk-UA"/>
        </w:rPr>
        <w:t xml:space="preserve"> право на розповсюдження сигналів, що несуть</w:t>
      </w:r>
      <w:r w:rsidRPr="00F53860">
        <w:rPr>
          <w:rFonts w:ascii="Times New Roman" w:hAnsi="Times New Roman" w:cs="Times New Roman"/>
          <w:sz w:val="28"/>
          <w:szCs w:val="28"/>
          <w:lang w:val="uk-UA"/>
        </w:rPr>
        <w:t xml:space="preserve"> програм</w:t>
      </w:r>
      <w:r>
        <w:rPr>
          <w:rFonts w:ascii="Times New Roman" w:hAnsi="Times New Roman" w:cs="Times New Roman"/>
          <w:sz w:val="28"/>
          <w:szCs w:val="28"/>
          <w:lang w:val="uk-UA"/>
        </w:rPr>
        <w:t>и</w:t>
      </w:r>
      <w:r w:rsidRPr="00F53860">
        <w:rPr>
          <w:rFonts w:ascii="Times New Roman" w:hAnsi="Times New Roman" w:cs="Times New Roman"/>
          <w:sz w:val="28"/>
          <w:szCs w:val="28"/>
          <w:lang w:val="uk-UA"/>
        </w:rPr>
        <w:t>, у мережі Інтернет (“</w:t>
      </w:r>
      <w:r w:rsidRPr="00F53860">
        <w:rPr>
          <w:rFonts w:ascii="Times New Roman" w:hAnsi="Times New Roman" w:cs="Times New Roman"/>
          <w:sz w:val="28"/>
          <w:szCs w:val="28"/>
          <w:lang w:val="en-US"/>
        </w:rPr>
        <w:t>webcasting</w:t>
      </w:r>
      <w:r w:rsidRPr="00F53860">
        <w:rPr>
          <w:rFonts w:ascii="Times New Roman" w:hAnsi="Times New Roman" w:cs="Times New Roman"/>
          <w:sz w:val="28"/>
          <w:szCs w:val="28"/>
          <w:lang w:val="uk-UA"/>
        </w:rPr>
        <w:t>”, або “</w:t>
      </w:r>
      <w:proofErr w:type="spellStart"/>
      <w:r w:rsidRPr="00F53860">
        <w:rPr>
          <w:rFonts w:ascii="Times New Roman" w:hAnsi="Times New Roman" w:cs="Times New Roman"/>
          <w:sz w:val="28"/>
          <w:szCs w:val="28"/>
          <w:lang w:val="en-US"/>
        </w:rPr>
        <w:t>netcasting</w:t>
      </w:r>
      <w:proofErr w:type="spellEnd"/>
      <w:r w:rsidRPr="00F53860">
        <w:rPr>
          <w:rFonts w:ascii="Times New Roman" w:hAnsi="Times New Roman" w:cs="Times New Roman"/>
          <w:sz w:val="28"/>
          <w:szCs w:val="28"/>
          <w:lang w:val="uk-UA"/>
        </w:rPr>
        <w:t>”), право на фіксацію і відтворення у нематеріальній (електронній або цифровій) формі, “</w:t>
      </w:r>
      <w:r w:rsidRPr="00F53860">
        <w:rPr>
          <w:rFonts w:ascii="Times New Roman" w:hAnsi="Times New Roman" w:cs="Times New Roman"/>
          <w:sz w:val="28"/>
          <w:szCs w:val="28"/>
          <w:lang w:val="en-US"/>
        </w:rPr>
        <w:t>post</w:t>
      </w:r>
      <w:r w:rsidRPr="00F53860">
        <w:rPr>
          <w:rFonts w:ascii="Times New Roman" w:hAnsi="Times New Roman" w:cs="Times New Roman"/>
          <w:sz w:val="28"/>
          <w:szCs w:val="28"/>
          <w:lang w:val="uk-UA"/>
        </w:rPr>
        <w:t>-</w:t>
      </w:r>
      <w:r w:rsidRPr="00F53860">
        <w:rPr>
          <w:rFonts w:ascii="Times New Roman" w:hAnsi="Times New Roman" w:cs="Times New Roman"/>
          <w:sz w:val="28"/>
          <w:szCs w:val="28"/>
          <w:lang w:val="en-US"/>
        </w:rPr>
        <w:t>fixation</w:t>
      </w:r>
      <w:r w:rsidRPr="00F53860">
        <w:rPr>
          <w:rFonts w:ascii="Times New Roman" w:hAnsi="Times New Roman" w:cs="Times New Roman"/>
          <w:sz w:val="28"/>
          <w:szCs w:val="28"/>
          <w:lang w:val="uk-UA"/>
        </w:rPr>
        <w:t xml:space="preserve"> </w:t>
      </w:r>
      <w:r w:rsidRPr="00F53860">
        <w:rPr>
          <w:rFonts w:ascii="Times New Roman" w:hAnsi="Times New Roman" w:cs="Times New Roman"/>
          <w:sz w:val="28"/>
          <w:szCs w:val="28"/>
          <w:lang w:val="en-US"/>
        </w:rPr>
        <w:t>rights</w:t>
      </w:r>
      <w:r w:rsidRPr="00F53860">
        <w:rPr>
          <w:rFonts w:ascii="Times New Roman" w:hAnsi="Times New Roman" w:cs="Times New Roman"/>
          <w:sz w:val="28"/>
          <w:szCs w:val="28"/>
          <w:lang w:val="uk-UA"/>
        </w:rPr>
        <w:t>” (що включають цілий комплекс прав: право на розповсюдження записів програм, імпорт примірників, здачу у майновий найм або комерційний прокат, тощо), право на публічну демонстрацію телерадіопрограм у місцях, доступних для публіки, з метою отримання прямої або опосередкованої комерційної вигоди, право на декодування сигналів, що несуть програми.</w:t>
      </w:r>
    </w:p>
    <w:p w:rsidR="00505798" w:rsidRPr="00B47EC1" w:rsidRDefault="00505798" w:rsidP="00505798">
      <w:pPr>
        <w:pStyle w:val="a4"/>
        <w:tabs>
          <w:tab w:val="left" w:pos="567"/>
        </w:tabs>
        <w:spacing w:line="360" w:lineRule="auto"/>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eastAsia="en-US"/>
        </w:rPr>
        <w:t>З урахуванням сучасного рівня розвит</w:t>
      </w:r>
      <w:r w:rsidRPr="00B47EC1">
        <w:rPr>
          <w:rFonts w:ascii="Times New Roman" w:hAnsi="Times New Roman" w:cs="Times New Roman"/>
          <w:sz w:val="28"/>
          <w:szCs w:val="28"/>
          <w:lang w:val="uk-UA" w:eastAsia="en-US"/>
        </w:rPr>
        <w:t>к</w:t>
      </w:r>
      <w:r>
        <w:rPr>
          <w:rFonts w:ascii="Times New Roman" w:hAnsi="Times New Roman" w:cs="Times New Roman"/>
          <w:sz w:val="28"/>
          <w:szCs w:val="28"/>
          <w:lang w:val="uk-UA" w:eastAsia="en-US"/>
        </w:rPr>
        <w:t>у</w:t>
      </w:r>
      <w:r w:rsidRPr="00B47EC1">
        <w:rPr>
          <w:rFonts w:ascii="Times New Roman" w:hAnsi="Times New Roman" w:cs="Times New Roman"/>
          <w:sz w:val="28"/>
          <w:szCs w:val="28"/>
          <w:lang w:val="uk-UA" w:eastAsia="en-US"/>
        </w:rPr>
        <w:t xml:space="preserve"> цифрових технологій</w:t>
      </w:r>
      <w:r>
        <w:rPr>
          <w:rFonts w:ascii="Times New Roman" w:hAnsi="Times New Roman" w:cs="Times New Roman"/>
          <w:sz w:val="28"/>
          <w:szCs w:val="28"/>
          <w:lang w:val="uk-UA"/>
        </w:rPr>
        <w:t xml:space="preserve"> визнано необхідність </w:t>
      </w:r>
      <w:r>
        <w:rPr>
          <w:rFonts w:ascii="Times New Roman" w:hAnsi="Times New Roman" w:cs="Times New Roman"/>
          <w:sz w:val="28"/>
          <w:szCs w:val="28"/>
          <w:lang w:val="uk-UA" w:eastAsia="en-US"/>
        </w:rPr>
        <w:t>гармонізації виключень та обмежень</w:t>
      </w:r>
      <w:r w:rsidRPr="00B47EC1">
        <w:rPr>
          <w:rFonts w:ascii="Times New Roman" w:hAnsi="Times New Roman" w:cs="Times New Roman"/>
          <w:sz w:val="28"/>
          <w:szCs w:val="28"/>
          <w:lang w:val="uk-UA" w:eastAsia="en-US"/>
        </w:rPr>
        <w:t xml:space="preserve"> суміжних прав організацій мовлення. </w:t>
      </w:r>
      <w:r>
        <w:rPr>
          <w:rFonts w:ascii="Times New Roman" w:hAnsi="Times New Roman" w:cs="Times New Roman"/>
          <w:sz w:val="28"/>
          <w:szCs w:val="28"/>
          <w:lang w:val="uk-UA" w:eastAsia="en-US"/>
        </w:rPr>
        <w:t>З</w:t>
      </w:r>
      <w:r w:rsidRPr="00B47EC1">
        <w:rPr>
          <w:rFonts w:ascii="Times New Roman" w:hAnsi="Times New Roman" w:cs="Times New Roman"/>
          <w:sz w:val="28"/>
          <w:szCs w:val="28"/>
          <w:lang w:val="uk-UA" w:eastAsia="en-US"/>
        </w:rPr>
        <w:t xml:space="preserve">а основу </w:t>
      </w:r>
      <w:r>
        <w:rPr>
          <w:rFonts w:ascii="Times New Roman" w:hAnsi="Times New Roman" w:cs="Times New Roman"/>
          <w:sz w:val="28"/>
          <w:szCs w:val="28"/>
          <w:lang w:val="uk-UA" w:eastAsia="en-US"/>
        </w:rPr>
        <w:t xml:space="preserve">запропоновано взяти </w:t>
      </w:r>
      <w:r w:rsidRPr="00B47EC1">
        <w:rPr>
          <w:rFonts w:ascii="Times New Roman" w:hAnsi="Times New Roman" w:cs="Times New Roman"/>
          <w:sz w:val="28"/>
          <w:szCs w:val="28"/>
          <w:lang w:val="uk-UA" w:eastAsia="en-US"/>
        </w:rPr>
        <w:t xml:space="preserve">модель </w:t>
      </w:r>
      <w:r w:rsidRPr="00B47EC1">
        <w:rPr>
          <w:rFonts w:ascii="Times New Roman" w:hAnsi="Times New Roman" w:cs="Times New Roman"/>
          <w:sz w:val="28"/>
          <w:szCs w:val="28"/>
          <w:lang w:val="uk-UA"/>
        </w:rPr>
        <w:t>«тесту у три етапи»</w:t>
      </w:r>
      <w:r w:rsidRPr="00B47EC1">
        <w:rPr>
          <w:rFonts w:ascii="Times New Roman" w:hAnsi="Times New Roman" w:cs="Times New Roman"/>
          <w:sz w:val="28"/>
          <w:szCs w:val="28"/>
          <w:lang w:val="uk-UA" w:eastAsia="en-US"/>
        </w:rPr>
        <w:t>, яка на разі запроваджена</w:t>
      </w:r>
      <w:r>
        <w:rPr>
          <w:rFonts w:ascii="Times New Roman" w:hAnsi="Times New Roman" w:cs="Times New Roman"/>
          <w:sz w:val="28"/>
          <w:szCs w:val="28"/>
          <w:lang w:val="uk-UA" w:eastAsia="en-US"/>
        </w:rPr>
        <w:t xml:space="preserve"> у Договорі ВОІВ про авторське право і Договорі ВОІВ про виконання і фонограми</w:t>
      </w:r>
      <w:r w:rsidRPr="00B47EC1">
        <w:rPr>
          <w:rFonts w:ascii="Times New Roman" w:hAnsi="Times New Roman" w:cs="Times New Roman"/>
          <w:sz w:val="28"/>
          <w:szCs w:val="28"/>
          <w:lang w:val="uk-UA"/>
        </w:rPr>
        <w:t>.</w:t>
      </w:r>
      <w:r w:rsidRPr="00B47EC1">
        <w:rPr>
          <w:rFonts w:ascii="Times New Roman" w:hAnsi="Times New Roman" w:cs="Times New Roman"/>
          <w:sz w:val="28"/>
          <w:szCs w:val="28"/>
          <w:lang w:val="uk-UA" w:eastAsia="en-US"/>
        </w:rPr>
        <w:t xml:space="preserve"> </w:t>
      </w:r>
    </w:p>
    <w:p w:rsidR="00505798" w:rsidRPr="00E36C5D" w:rsidRDefault="00505798" w:rsidP="00505798">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bCs/>
          <w:color w:val="000000"/>
          <w:sz w:val="28"/>
          <w:szCs w:val="28"/>
          <w:lang w:val="uk-UA"/>
        </w:rPr>
        <w:t xml:space="preserve">Зроблено висновок про те, що </w:t>
      </w:r>
      <w:r w:rsidRPr="00E36C5D">
        <w:rPr>
          <w:rFonts w:ascii="Times New Roman" w:hAnsi="Times New Roman" w:cs="Times New Roman"/>
          <w:bCs/>
          <w:color w:val="000000"/>
          <w:sz w:val="28"/>
          <w:szCs w:val="28"/>
          <w:lang w:val="uk-UA"/>
        </w:rPr>
        <w:t>Україна має рухатися у напрямку посилення прозорості діяльності організацій колективного управління, у тому числі у сфері суміжних прав, та забезпечення функціонування електронної системи реєстрації та обліку, що відповідатиме європейським тенденціям правового регулювання.</w:t>
      </w:r>
    </w:p>
    <w:p w:rsidR="00505798" w:rsidRDefault="00505798" w:rsidP="00505798">
      <w:pPr>
        <w:spacing w:line="360" w:lineRule="auto"/>
        <w:ind w:firstLine="709"/>
        <w:jc w:val="both"/>
        <w:rPr>
          <w:sz w:val="28"/>
          <w:szCs w:val="28"/>
        </w:rPr>
      </w:pPr>
      <w:r>
        <w:rPr>
          <w:sz w:val="28"/>
          <w:szCs w:val="28"/>
        </w:rPr>
        <w:t xml:space="preserve">У </w:t>
      </w:r>
      <w:r>
        <w:rPr>
          <w:i/>
          <w:sz w:val="28"/>
          <w:szCs w:val="28"/>
        </w:rPr>
        <w:t>Розділі 3</w:t>
      </w:r>
      <w:r w:rsidRPr="003F604D">
        <w:rPr>
          <w:i/>
          <w:sz w:val="28"/>
          <w:szCs w:val="28"/>
        </w:rPr>
        <w:t xml:space="preserve"> </w:t>
      </w:r>
      <w:r w:rsidRPr="00E32839">
        <w:rPr>
          <w:i/>
          <w:sz w:val="28"/>
          <w:szCs w:val="28"/>
        </w:rPr>
        <w:t>«Особливості цивільно-правового захисту суміжних прав організацій мовлення</w:t>
      </w:r>
      <w:r>
        <w:rPr>
          <w:i/>
          <w:sz w:val="28"/>
          <w:szCs w:val="28"/>
        </w:rPr>
        <w:t xml:space="preserve">» </w:t>
      </w:r>
      <w:r>
        <w:rPr>
          <w:sz w:val="28"/>
          <w:szCs w:val="28"/>
        </w:rPr>
        <w:t>досліджено види найбільш поширених порушень</w:t>
      </w:r>
      <w:r w:rsidRPr="00DF5571">
        <w:rPr>
          <w:sz w:val="28"/>
          <w:szCs w:val="28"/>
        </w:rPr>
        <w:t xml:space="preserve"> суміжних прав організацій мовлення </w:t>
      </w:r>
      <w:r>
        <w:rPr>
          <w:sz w:val="28"/>
          <w:szCs w:val="28"/>
        </w:rPr>
        <w:t>у цифрову еру, с</w:t>
      </w:r>
      <w:r w:rsidRPr="00DF5571">
        <w:rPr>
          <w:sz w:val="28"/>
          <w:szCs w:val="28"/>
        </w:rPr>
        <w:t>пособи цивільно-правового захисту суміжних</w:t>
      </w:r>
      <w:r>
        <w:rPr>
          <w:sz w:val="28"/>
          <w:szCs w:val="28"/>
        </w:rPr>
        <w:t xml:space="preserve"> прав організацій мовлення, зокрема, у сфері Інтернет.</w:t>
      </w:r>
    </w:p>
    <w:p w:rsidR="00505798" w:rsidRPr="00C61050" w:rsidRDefault="00505798" w:rsidP="00505798">
      <w:pPr>
        <w:spacing w:line="360" w:lineRule="auto"/>
        <w:ind w:firstLine="709"/>
        <w:jc w:val="both"/>
        <w:rPr>
          <w:sz w:val="28"/>
          <w:szCs w:val="28"/>
        </w:rPr>
      </w:pPr>
      <w:r>
        <w:rPr>
          <w:sz w:val="28"/>
          <w:szCs w:val="28"/>
        </w:rPr>
        <w:lastRenderedPageBreak/>
        <w:t>Запропоновано удосконалити визначення поняття «</w:t>
      </w:r>
      <w:proofErr w:type="spellStart"/>
      <w:r w:rsidRPr="00203424">
        <w:rPr>
          <w:sz w:val="28"/>
          <w:szCs w:val="28"/>
        </w:rPr>
        <w:t>кардшейрінг</w:t>
      </w:r>
      <w:proofErr w:type="spellEnd"/>
      <w:r>
        <w:rPr>
          <w:sz w:val="28"/>
          <w:szCs w:val="28"/>
        </w:rPr>
        <w:t xml:space="preserve">», </w:t>
      </w:r>
      <w:r w:rsidRPr="00203424">
        <w:rPr>
          <w:sz w:val="28"/>
          <w:szCs w:val="28"/>
        </w:rPr>
        <w:t xml:space="preserve">що </w:t>
      </w:r>
      <w:r>
        <w:rPr>
          <w:sz w:val="28"/>
          <w:szCs w:val="28"/>
        </w:rPr>
        <w:t>використову</w:t>
      </w:r>
      <w:r w:rsidRPr="00203424">
        <w:rPr>
          <w:sz w:val="28"/>
          <w:szCs w:val="28"/>
        </w:rPr>
        <w:t>ється у статті 1 Закону України «Про авторське право і суміжні права»,</w:t>
      </w:r>
      <w:r>
        <w:rPr>
          <w:sz w:val="28"/>
          <w:szCs w:val="28"/>
        </w:rPr>
        <w:t xml:space="preserve"> додавши такий склад </w:t>
      </w:r>
      <w:r w:rsidRPr="00203424">
        <w:rPr>
          <w:sz w:val="28"/>
          <w:szCs w:val="28"/>
        </w:rPr>
        <w:t xml:space="preserve">правопорушення, як діяльність з </w:t>
      </w:r>
      <w:r w:rsidRPr="00203424">
        <w:rPr>
          <w:sz w:val="28"/>
          <w:szCs w:val="28"/>
          <w:shd w:val="clear" w:color="auto" w:fill="FFFFFF"/>
        </w:rPr>
        <w:t xml:space="preserve">використання комерційних повідомлень (реклами) для </w:t>
      </w:r>
      <w:proofErr w:type="spellStart"/>
      <w:r w:rsidRPr="00203424">
        <w:rPr>
          <w:sz w:val="28"/>
          <w:szCs w:val="28"/>
          <w:shd w:val="clear" w:color="auto" w:fill="FFFFFF"/>
        </w:rPr>
        <w:t>промотування</w:t>
      </w:r>
      <w:proofErr w:type="spellEnd"/>
      <w:r w:rsidRPr="00203424">
        <w:rPr>
          <w:sz w:val="28"/>
          <w:szCs w:val="28"/>
          <w:shd w:val="clear" w:color="auto" w:fill="FFFFFF"/>
        </w:rPr>
        <w:t xml:space="preserve"> нелегальних пристроїв</w:t>
      </w:r>
      <w:r>
        <w:rPr>
          <w:sz w:val="28"/>
          <w:szCs w:val="28"/>
          <w:shd w:val="clear" w:color="auto" w:fill="FFFFFF"/>
        </w:rPr>
        <w:t>, що відповідатиме європейській практиці.</w:t>
      </w:r>
    </w:p>
    <w:p w:rsidR="00505798" w:rsidRDefault="00505798" w:rsidP="00505798">
      <w:pPr>
        <w:pStyle w:val="Preformatted"/>
        <w:tabs>
          <w:tab w:val="clear" w:pos="9590"/>
        </w:tabs>
        <w:spacing w:line="360" w:lineRule="auto"/>
        <w:ind w:right="-6" w:firstLine="709"/>
        <w:jc w:val="both"/>
        <w:rPr>
          <w:rFonts w:ascii="Times New Roman" w:hAnsi="Times New Roman"/>
          <w:sz w:val="28"/>
          <w:szCs w:val="28"/>
          <w:lang w:val="uk-UA"/>
        </w:rPr>
      </w:pPr>
      <w:r w:rsidRPr="00A430F1">
        <w:rPr>
          <w:rFonts w:ascii="Times New Roman" w:hAnsi="Times New Roman"/>
          <w:sz w:val="28"/>
          <w:szCs w:val="28"/>
          <w:lang w:val="uk-UA"/>
        </w:rPr>
        <w:t>Встановлено, що дефініція терміну «піратство», що надається у пункті “б” статті 50 Закону України «Про авторське право і суміжні права», не охоплює випадки незаконного поширення сигналів до моменту їхнього публічного сповіщення (“</w:t>
      </w:r>
      <w:r w:rsidRPr="00A430F1">
        <w:rPr>
          <w:rFonts w:ascii="Times New Roman" w:hAnsi="Times New Roman"/>
          <w:sz w:val="28"/>
          <w:szCs w:val="28"/>
          <w:lang w:val="en-US"/>
        </w:rPr>
        <w:t>pre</w:t>
      </w:r>
      <w:r w:rsidRPr="00A430F1">
        <w:rPr>
          <w:rFonts w:ascii="Times New Roman" w:hAnsi="Times New Roman"/>
          <w:sz w:val="28"/>
          <w:szCs w:val="28"/>
          <w:lang w:val="uk-UA"/>
        </w:rPr>
        <w:t>-</w:t>
      </w:r>
      <w:r w:rsidRPr="00A430F1">
        <w:rPr>
          <w:rFonts w:ascii="Times New Roman" w:hAnsi="Times New Roman"/>
          <w:sz w:val="28"/>
          <w:szCs w:val="28"/>
          <w:lang w:val="en-US"/>
        </w:rPr>
        <w:t>broadcast</w:t>
      </w:r>
      <w:r w:rsidRPr="00A430F1">
        <w:rPr>
          <w:rFonts w:ascii="Times New Roman" w:hAnsi="Times New Roman"/>
          <w:sz w:val="28"/>
          <w:szCs w:val="28"/>
          <w:lang w:val="uk-UA"/>
        </w:rPr>
        <w:t xml:space="preserve"> </w:t>
      </w:r>
      <w:r w:rsidRPr="00A430F1">
        <w:rPr>
          <w:rFonts w:ascii="Times New Roman" w:hAnsi="Times New Roman"/>
          <w:sz w:val="28"/>
          <w:szCs w:val="28"/>
          <w:lang w:val="en-US"/>
        </w:rPr>
        <w:t>signals</w:t>
      </w:r>
      <w:r w:rsidRPr="00A430F1">
        <w:rPr>
          <w:rFonts w:ascii="Times New Roman" w:hAnsi="Times New Roman"/>
          <w:sz w:val="28"/>
          <w:szCs w:val="28"/>
          <w:lang w:val="uk-UA"/>
        </w:rPr>
        <w:t>”). Україна повинна передбачити належний захист у відношенні сигналів, що несуть програму організації мовлення, до моменту їхнього публічного сповіщення.</w:t>
      </w:r>
    </w:p>
    <w:p w:rsidR="00505798" w:rsidRPr="00A430F1" w:rsidRDefault="00505798" w:rsidP="00505798">
      <w:pPr>
        <w:pStyle w:val="Preformatted"/>
        <w:tabs>
          <w:tab w:val="clear" w:pos="9590"/>
        </w:tabs>
        <w:spacing w:line="360" w:lineRule="auto"/>
        <w:ind w:right="-6" w:firstLine="709"/>
        <w:jc w:val="both"/>
        <w:rPr>
          <w:rFonts w:ascii="Times New Roman" w:hAnsi="Times New Roman"/>
          <w:sz w:val="28"/>
          <w:szCs w:val="28"/>
          <w:lang w:val="uk-UA"/>
        </w:rPr>
      </w:pPr>
      <w:r>
        <w:rPr>
          <w:rFonts w:ascii="Times New Roman" w:hAnsi="Times New Roman"/>
          <w:sz w:val="28"/>
          <w:szCs w:val="28"/>
          <w:lang w:val="uk-UA"/>
        </w:rPr>
        <w:t>Сформульова</w:t>
      </w:r>
      <w:r w:rsidRPr="00203424">
        <w:rPr>
          <w:rFonts w:ascii="Times New Roman" w:hAnsi="Times New Roman"/>
          <w:sz w:val="28"/>
          <w:szCs w:val="28"/>
          <w:lang w:val="uk-UA"/>
        </w:rPr>
        <w:t xml:space="preserve">но висновок про необхідність </w:t>
      </w:r>
      <w:r w:rsidRPr="00203424">
        <w:rPr>
          <w:rStyle w:val="rvts23"/>
          <w:rFonts w:ascii="Times New Roman" w:hAnsi="Times New Roman"/>
          <w:sz w:val="28"/>
          <w:szCs w:val="28"/>
          <w:shd w:val="clear" w:color="auto" w:fill="FFFFFF"/>
          <w:lang w:val="uk-UA"/>
        </w:rPr>
        <w:t xml:space="preserve">адаптації Закону України «Про авторське право і суміжні права» до статей </w:t>
      </w:r>
      <w:r w:rsidRPr="00203424">
        <w:rPr>
          <w:rFonts w:ascii="Times New Roman" w:hAnsi="Times New Roman"/>
          <w:sz w:val="28"/>
          <w:szCs w:val="28"/>
          <w:lang w:val="uk-UA"/>
        </w:rPr>
        <w:t>6 «</w:t>
      </w:r>
      <w:r w:rsidRPr="00203424">
        <w:rPr>
          <w:rFonts w:ascii="Times New Roman" w:hAnsi="Times New Roman"/>
          <w:bCs/>
          <w:sz w:val="28"/>
          <w:szCs w:val="28"/>
          <w:shd w:val="clear" w:color="auto" w:fill="FFFFFF"/>
          <w:lang w:val="uk-UA"/>
        </w:rPr>
        <w:t>Зобов’язання щодо технологічних заходів</w:t>
      </w:r>
      <w:r w:rsidRPr="00203424">
        <w:rPr>
          <w:rFonts w:ascii="Times New Roman" w:hAnsi="Times New Roman"/>
          <w:sz w:val="28"/>
          <w:szCs w:val="28"/>
          <w:lang w:val="uk-UA"/>
        </w:rPr>
        <w:t>» і 7 «</w:t>
      </w:r>
      <w:r w:rsidRPr="00203424">
        <w:rPr>
          <w:rFonts w:ascii="Times New Roman" w:hAnsi="Times New Roman"/>
          <w:bCs/>
          <w:sz w:val="28"/>
          <w:szCs w:val="28"/>
          <w:shd w:val="clear" w:color="auto" w:fill="FFFFFF"/>
          <w:lang w:val="uk-UA"/>
        </w:rPr>
        <w:t>Зобов’язання щодо інформації про управління правами</w:t>
      </w:r>
      <w:r w:rsidRPr="00203424">
        <w:rPr>
          <w:rFonts w:ascii="Times New Roman" w:hAnsi="Times New Roman"/>
          <w:sz w:val="28"/>
          <w:szCs w:val="28"/>
          <w:lang w:val="uk-UA"/>
        </w:rPr>
        <w:t xml:space="preserve">» </w:t>
      </w:r>
      <w:r w:rsidRPr="00203424">
        <w:rPr>
          <w:rStyle w:val="rvts23"/>
          <w:rFonts w:ascii="Times New Roman" w:hAnsi="Times New Roman"/>
          <w:sz w:val="28"/>
          <w:szCs w:val="28"/>
          <w:shd w:val="clear" w:color="auto" w:fill="FFFFFF"/>
          <w:lang w:val="uk-UA"/>
        </w:rPr>
        <w:t>Директиви Європейського Парламенту і Ради 2001/29/ЄС від 22 травня 2001 року про гармонізацію окремих аспектів авторського права і суміжних прав в інформаційному суспільстві, що прямо передбачено у статтях 176 і 177 Угоди про асоціацію.</w:t>
      </w:r>
    </w:p>
    <w:p w:rsidR="00505798" w:rsidRDefault="00505798" w:rsidP="00505798">
      <w:pPr>
        <w:spacing w:line="360" w:lineRule="auto"/>
        <w:ind w:firstLine="709"/>
        <w:contextualSpacing/>
        <w:jc w:val="both"/>
        <w:rPr>
          <w:sz w:val="28"/>
          <w:szCs w:val="28"/>
          <w:lang w:eastAsia="zh-CN"/>
        </w:rPr>
      </w:pPr>
      <w:r w:rsidRPr="00203424">
        <w:rPr>
          <w:sz w:val="28"/>
          <w:szCs w:val="28"/>
        </w:rPr>
        <w:t xml:space="preserve">Запропоновано закріпити у </w:t>
      </w:r>
      <w:r w:rsidRPr="00203424">
        <w:rPr>
          <w:sz w:val="28"/>
        </w:rPr>
        <w:t xml:space="preserve">Законі України «Про авторське право і суміжні права» за аналогією </w:t>
      </w:r>
      <w:r>
        <w:rPr>
          <w:sz w:val="28"/>
        </w:rPr>
        <w:t xml:space="preserve">із законодавством деяких країн Європи </w:t>
      </w:r>
      <w:r w:rsidRPr="00203424">
        <w:rPr>
          <w:sz w:val="28"/>
        </w:rPr>
        <w:t>обов’язок сторони, що програла у справі, компенсувати витрати на публікацію у засобах масової інформації даних про допущені порушення суміжних прав організацій мовлення та судові рішення щодо цих порушень.</w:t>
      </w:r>
    </w:p>
    <w:p w:rsidR="00505798" w:rsidRDefault="00505798" w:rsidP="00505798">
      <w:pPr>
        <w:spacing w:line="360" w:lineRule="auto"/>
        <w:ind w:firstLine="709"/>
        <w:contextualSpacing/>
        <w:jc w:val="both"/>
        <w:rPr>
          <w:sz w:val="28"/>
          <w:szCs w:val="28"/>
          <w:lang w:eastAsia="zh-CN"/>
        </w:rPr>
      </w:pPr>
      <w:r>
        <w:rPr>
          <w:sz w:val="28"/>
          <w:szCs w:val="28"/>
          <w:shd w:val="clear" w:color="auto" w:fill="FFFFFF"/>
        </w:rPr>
        <w:t xml:space="preserve">Обґрунтовано </w:t>
      </w:r>
      <w:r w:rsidRPr="00203424">
        <w:rPr>
          <w:sz w:val="28"/>
          <w:szCs w:val="28"/>
          <w:shd w:val="clear" w:color="auto" w:fill="FFFFFF"/>
        </w:rPr>
        <w:t>необхідність налагодження тісної співпраці щодо погодження механізму взаємодії українських правовласників, у тому числі організацій мовлення, з представниками ВОІВ</w:t>
      </w:r>
      <w:r w:rsidRPr="00203424">
        <w:rPr>
          <w:bCs/>
          <w:iCs/>
          <w:sz w:val="28"/>
          <w:szCs w:val="28"/>
        </w:rPr>
        <w:t xml:space="preserve"> щодо надання інформації до бази даних </w:t>
      </w:r>
      <w:r w:rsidRPr="00203424">
        <w:rPr>
          <w:sz w:val="28"/>
          <w:szCs w:val="28"/>
          <w:shd w:val="clear" w:color="auto" w:fill="FFFFFF"/>
        </w:rPr>
        <w:t xml:space="preserve">“WIPO ALERT” </w:t>
      </w:r>
      <w:r w:rsidRPr="00203424">
        <w:rPr>
          <w:bCs/>
          <w:iCs/>
          <w:sz w:val="28"/>
          <w:szCs w:val="28"/>
        </w:rPr>
        <w:t>про веб-ресурси і застосунки, що порушують авторське право і суміжні права в Україні і світі.</w:t>
      </w:r>
    </w:p>
    <w:p w:rsidR="00505798" w:rsidRDefault="00505798" w:rsidP="00505798">
      <w:pPr>
        <w:pStyle w:val="a4"/>
        <w:spacing w:after="0" w:line="360" w:lineRule="auto"/>
        <w:ind w:left="0" w:firstLine="709"/>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Встановлено</w:t>
      </w:r>
      <w:r w:rsidRPr="00203424">
        <w:rPr>
          <w:rFonts w:ascii="Times New Roman" w:hAnsi="Times New Roman" w:cs="Times New Roman"/>
          <w:color w:val="000000"/>
          <w:sz w:val="28"/>
          <w:szCs w:val="28"/>
          <w:lang w:val="uk-UA"/>
        </w:rPr>
        <w:t xml:space="preserve">, що </w:t>
      </w:r>
      <w:r w:rsidRPr="00203424">
        <w:rPr>
          <w:rFonts w:ascii="Times New Roman" w:hAnsi="Times New Roman" w:cs="Times New Roman"/>
          <w:sz w:val="28"/>
          <w:szCs w:val="28"/>
        </w:rPr>
        <w:t xml:space="preserve">у </w:t>
      </w:r>
      <w:r w:rsidRPr="00203424">
        <w:rPr>
          <w:rFonts w:ascii="Times New Roman" w:hAnsi="Times New Roman" w:cs="Times New Roman"/>
          <w:sz w:val="28"/>
          <w:szCs w:val="28"/>
          <w:lang w:val="uk-UA"/>
        </w:rPr>
        <w:t xml:space="preserve">законодавстві України питання охорони і захисту суміжних прав організацій мовлення за допомогою технології </w:t>
      </w:r>
      <w:proofErr w:type="spellStart"/>
      <w:r w:rsidRPr="00203424">
        <w:rPr>
          <w:rFonts w:ascii="Times New Roman" w:hAnsi="Times New Roman" w:cs="Times New Roman"/>
          <w:sz w:val="28"/>
          <w:szCs w:val="28"/>
          <w:lang w:val="uk-UA"/>
        </w:rPr>
        <w:t>блокчейн</w:t>
      </w:r>
      <w:proofErr w:type="spellEnd"/>
      <w:r w:rsidRPr="00203424">
        <w:rPr>
          <w:rFonts w:ascii="Times New Roman" w:hAnsi="Times New Roman" w:cs="Times New Roman"/>
          <w:sz w:val="28"/>
          <w:szCs w:val="28"/>
          <w:lang w:val="uk-UA"/>
        </w:rPr>
        <w:t xml:space="preserve"> жодним </w:t>
      </w:r>
      <w:r w:rsidRPr="00203424">
        <w:rPr>
          <w:rFonts w:ascii="Times New Roman" w:hAnsi="Times New Roman" w:cs="Times New Roman"/>
          <w:sz w:val="28"/>
          <w:szCs w:val="28"/>
          <w:lang w:val="uk-UA"/>
        </w:rPr>
        <w:lastRenderedPageBreak/>
        <w:t>чином поки що не врегульовано. Беручи до уваги актуальність цієї проблематики і стрімкий розвиток різноманітних аудіовізуальних медіа-сервісів в Україні і світі, Україна має подбати про удосконалення національного законодавства і передбачити імплементацію найкращих взірців правового регулювання, що будуть застосовуватися у країнах Європейського Союзу і міжнародній практиці.</w:t>
      </w:r>
    </w:p>
    <w:p w:rsidR="00505798" w:rsidRDefault="00505798" w:rsidP="00505798">
      <w:pPr>
        <w:spacing w:line="360" w:lineRule="auto"/>
        <w:ind w:firstLine="709"/>
        <w:contextualSpacing/>
        <w:jc w:val="both"/>
        <w:rPr>
          <w:sz w:val="28"/>
          <w:szCs w:val="28"/>
          <w:lang w:eastAsia="zh-CN"/>
        </w:rPr>
      </w:pPr>
      <w:r w:rsidRPr="00E82C15">
        <w:rPr>
          <w:sz w:val="28"/>
          <w:szCs w:val="28"/>
          <w:lang w:eastAsia="zh-CN"/>
        </w:rPr>
        <w:t xml:space="preserve">На підставі проведеного дослідження </w:t>
      </w:r>
      <w:r>
        <w:rPr>
          <w:sz w:val="28"/>
          <w:szCs w:val="28"/>
          <w:lang w:eastAsia="zh-CN"/>
        </w:rPr>
        <w:t xml:space="preserve">обґрунтована необхідність </w:t>
      </w:r>
      <w:r w:rsidRPr="00E82C15">
        <w:rPr>
          <w:sz w:val="28"/>
          <w:szCs w:val="28"/>
          <w:lang w:eastAsia="zh-CN"/>
        </w:rPr>
        <w:t xml:space="preserve">внесення </w:t>
      </w:r>
      <w:r>
        <w:rPr>
          <w:sz w:val="28"/>
          <w:szCs w:val="28"/>
          <w:lang w:eastAsia="zh-CN"/>
        </w:rPr>
        <w:t xml:space="preserve">змін </w:t>
      </w:r>
      <w:r w:rsidRPr="00E82C15">
        <w:rPr>
          <w:sz w:val="28"/>
          <w:szCs w:val="28"/>
          <w:lang w:eastAsia="zh-CN"/>
        </w:rPr>
        <w:t xml:space="preserve">до </w:t>
      </w:r>
      <w:r>
        <w:rPr>
          <w:sz w:val="28"/>
          <w:szCs w:val="28"/>
          <w:lang w:eastAsia="zh-CN"/>
        </w:rPr>
        <w:t xml:space="preserve">чинного </w:t>
      </w:r>
      <w:r w:rsidRPr="00E82C15">
        <w:rPr>
          <w:sz w:val="28"/>
          <w:szCs w:val="28"/>
          <w:lang w:eastAsia="zh-CN"/>
        </w:rPr>
        <w:t>законодавства</w:t>
      </w:r>
      <w:r>
        <w:rPr>
          <w:sz w:val="28"/>
          <w:szCs w:val="28"/>
          <w:lang w:eastAsia="zh-CN"/>
        </w:rPr>
        <w:t xml:space="preserve"> України</w:t>
      </w:r>
      <w:r w:rsidRPr="00E82C15">
        <w:rPr>
          <w:sz w:val="28"/>
          <w:szCs w:val="28"/>
          <w:lang w:eastAsia="zh-CN"/>
        </w:rPr>
        <w:t>,</w:t>
      </w:r>
      <w:r>
        <w:rPr>
          <w:sz w:val="28"/>
          <w:szCs w:val="28"/>
          <w:lang w:eastAsia="zh-CN"/>
        </w:rPr>
        <w:t xml:space="preserve"> зокрема до Закону України «Про авторське право і суміжні права» і Закону України «Про телебачення і радіомовлення», підготовлені пропозиції про внесення змін і доповнень до проекту Закону України «Про медіа»</w:t>
      </w:r>
      <w:r w:rsidRPr="00E82C15">
        <w:rPr>
          <w:sz w:val="28"/>
          <w:szCs w:val="28"/>
          <w:lang w:eastAsia="zh-CN"/>
        </w:rPr>
        <w:t>.</w:t>
      </w:r>
    </w:p>
    <w:p w:rsidR="00505798" w:rsidRDefault="00505798" w:rsidP="00505798">
      <w:pPr>
        <w:spacing w:line="360" w:lineRule="auto"/>
        <w:ind w:firstLine="709"/>
        <w:contextualSpacing/>
        <w:jc w:val="both"/>
        <w:rPr>
          <w:sz w:val="28"/>
          <w:szCs w:val="28"/>
          <w:lang w:eastAsia="zh-CN"/>
        </w:rPr>
      </w:pPr>
    </w:p>
    <w:p w:rsidR="00505798" w:rsidRPr="00AB2BDD" w:rsidRDefault="00505798" w:rsidP="00505798">
      <w:pPr>
        <w:spacing w:line="360" w:lineRule="auto"/>
        <w:ind w:firstLine="709"/>
        <w:jc w:val="both"/>
        <w:rPr>
          <w:sz w:val="28"/>
          <w:szCs w:val="28"/>
        </w:rPr>
      </w:pPr>
      <w:r w:rsidRPr="00CC3ED9">
        <w:rPr>
          <w:b/>
          <w:i/>
          <w:sz w:val="28"/>
          <w:szCs w:val="28"/>
          <w:lang w:eastAsia="zh-CN"/>
        </w:rPr>
        <w:t>Ключові слова:</w:t>
      </w:r>
      <w:r w:rsidRPr="00105756">
        <w:rPr>
          <w:b/>
          <w:i/>
          <w:sz w:val="28"/>
          <w:szCs w:val="28"/>
          <w:lang w:eastAsia="zh-CN"/>
        </w:rPr>
        <w:t xml:space="preserve"> </w:t>
      </w:r>
      <w:r w:rsidRPr="00DC42F3">
        <w:rPr>
          <w:sz w:val="28"/>
          <w:szCs w:val="28"/>
          <w:lang w:eastAsia="zh-CN"/>
        </w:rPr>
        <w:t>програма організації мовл</w:t>
      </w:r>
      <w:r>
        <w:rPr>
          <w:sz w:val="28"/>
          <w:szCs w:val="28"/>
          <w:lang w:eastAsia="zh-CN"/>
        </w:rPr>
        <w:t>ення;</w:t>
      </w:r>
      <w:r w:rsidRPr="00DC42F3">
        <w:rPr>
          <w:sz w:val="28"/>
          <w:szCs w:val="28"/>
          <w:lang w:eastAsia="zh-CN"/>
        </w:rPr>
        <w:t xml:space="preserve"> си</w:t>
      </w:r>
      <w:r>
        <w:rPr>
          <w:sz w:val="28"/>
          <w:szCs w:val="28"/>
          <w:lang w:eastAsia="zh-CN"/>
        </w:rPr>
        <w:t>гнал, який несе програму</w:t>
      </w:r>
      <w:r w:rsidRPr="00FB02D4">
        <w:rPr>
          <w:sz w:val="28"/>
          <w:szCs w:val="28"/>
          <w:lang w:eastAsia="zh-CN"/>
        </w:rPr>
        <w:t>;</w:t>
      </w:r>
      <w:r w:rsidRPr="00DC42F3">
        <w:rPr>
          <w:sz w:val="28"/>
          <w:szCs w:val="28"/>
          <w:lang w:eastAsia="zh-CN"/>
        </w:rPr>
        <w:t xml:space="preserve"> сигнал до мом</w:t>
      </w:r>
      <w:r>
        <w:rPr>
          <w:sz w:val="28"/>
          <w:szCs w:val="28"/>
          <w:lang w:eastAsia="zh-CN"/>
        </w:rPr>
        <w:t>енту його публічного сповіщення;</w:t>
      </w:r>
      <w:r w:rsidRPr="00DC42F3">
        <w:rPr>
          <w:sz w:val="28"/>
          <w:szCs w:val="28"/>
          <w:lang w:eastAsia="zh-CN"/>
        </w:rPr>
        <w:t xml:space="preserve"> </w:t>
      </w:r>
      <w:r>
        <w:rPr>
          <w:sz w:val="28"/>
          <w:szCs w:val="28"/>
          <w:lang w:eastAsia="zh-CN"/>
        </w:rPr>
        <w:t>організація мовлення;</w:t>
      </w:r>
      <w:r w:rsidRPr="00DC42F3">
        <w:rPr>
          <w:sz w:val="28"/>
          <w:szCs w:val="28"/>
          <w:lang w:eastAsia="zh-CN"/>
        </w:rPr>
        <w:t xml:space="preserve"> </w:t>
      </w:r>
      <w:r w:rsidRPr="00DC42F3">
        <w:rPr>
          <w:sz w:val="28"/>
          <w:szCs w:val="28"/>
        </w:rPr>
        <w:t>провайдер платф</w:t>
      </w:r>
      <w:r>
        <w:rPr>
          <w:sz w:val="28"/>
          <w:szCs w:val="28"/>
        </w:rPr>
        <w:t>орми спільного доступу до відео; суміжні права;</w:t>
      </w:r>
      <w:r w:rsidRPr="00DC42F3">
        <w:rPr>
          <w:sz w:val="28"/>
          <w:szCs w:val="28"/>
        </w:rPr>
        <w:t xml:space="preserve"> публічне</w:t>
      </w:r>
      <w:r>
        <w:rPr>
          <w:sz w:val="28"/>
          <w:szCs w:val="28"/>
        </w:rPr>
        <w:t xml:space="preserve"> сповіщення;</w:t>
      </w:r>
      <w:r w:rsidRPr="00DC42F3">
        <w:rPr>
          <w:sz w:val="28"/>
          <w:szCs w:val="28"/>
        </w:rPr>
        <w:t xml:space="preserve"> </w:t>
      </w:r>
      <w:r>
        <w:rPr>
          <w:sz w:val="28"/>
          <w:szCs w:val="28"/>
        </w:rPr>
        <w:t>ретрансляція;</w:t>
      </w:r>
      <w:r w:rsidRPr="00DC42F3">
        <w:rPr>
          <w:sz w:val="28"/>
          <w:szCs w:val="28"/>
        </w:rPr>
        <w:t xml:space="preserve"> </w:t>
      </w:r>
      <w:r w:rsidRPr="002D2E5B">
        <w:rPr>
          <w:sz w:val="28"/>
          <w:szCs w:val="28"/>
        </w:rPr>
        <w:t>права на розповсюдження записів сигналів, що несуть програми</w:t>
      </w:r>
      <w:r>
        <w:rPr>
          <w:sz w:val="28"/>
          <w:szCs w:val="28"/>
        </w:rPr>
        <w:t>;</w:t>
      </w:r>
      <w:r w:rsidRPr="00DC42F3">
        <w:rPr>
          <w:sz w:val="28"/>
          <w:szCs w:val="28"/>
        </w:rPr>
        <w:t xml:space="preserve"> виключення та обмеження сум</w:t>
      </w:r>
      <w:r>
        <w:rPr>
          <w:sz w:val="28"/>
          <w:szCs w:val="28"/>
        </w:rPr>
        <w:t>іжних прав організацій мовлення;</w:t>
      </w:r>
      <w:r w:rsidRPr="00DC42F3">
        <w:rPr>
          <w:sz w:val="28"/>
          <w:szCs w:val="28"/>
        </w:rPr>
        <w:t xml:space="preserve"> </w:t>
      </w:r>
      <w:r>
        <w:rPr>
          <w:sz w:val="28"/>
          <w:szCs w:val="28"/>
        </w:rPr>
        <w:t>колективне управління;</w:t>
      </w:r>
      <w:r w:rsidRPr="00DC42F3">
        <w:rPr>
          <w:sz w:val="28"/>
          <w:szCs w:val="28"/>
        </w:rPr>
        <w:t xml:space="preserve"> захист суміжних прав</w:t>
      </w:r>
      <w:r>
        <w:rPr>
          <w:sz w:val="28"/>
          <w:szCs w:val="28"/>
        </w:rPr>
        <w:t>;</w:t>
      </w:r>
      <w:r w:rsidRPr="00DC42F3">
        <w:rPr>
          <w:sz w:val="28"/>
          <w:szCs w:val="28"/>
        </w:rPr>
        <w:t xml:space="preserve"> </w:t>
      </w:r>
      <w:r>
        <w:rPr>
          <w:sz w:val="28"/>
          <w:szCs w:val="28"/>
        </w:rPr>
        <w:t xml:space="preserve">Інтернет; </w:t>
      </w:r>
      <w:r w:rsidRPr="00DC42F3">
        <w:rPr>
          <w:sz w:val="28"/>
          <w:szCs w:val="28"/>
        </w:rPr>
        <w:t xml:space="preserve">інформація про управління цифровими </w:t>
      </w:r>
      <w:r>
        <w:rPr>
          <w:sz w:val="28"/>
          <w:szCs w:val="28"/>
        </w:rPr>
        <w:t>правами;</w:t>
      </w:r>
      <w:r w:rsidRPr="00DC42F3">
        <w:rPr>
          <w:sz w:val="28"/>
          <w:szCs w:val="28"/>
        </w:rPr>
        <w:t xml:space="preserve"> </w:t>
      </w:r>
      <w:proofErr w:type="spellStart"/>
      <w:r w:rsidRPr="00DC42F3">
        <w:rPr>
          <w:sz w:val="28"/>
          <w:szCs w:val="28"/>
        </w:rPr>
        <w:t>блокчейн</w:t>
      </w:r>
      <w:proofErr w:type="spellEnd"/>
    </w:p>
    <w:p w:rsidR="00505798" w:rsidRPr="00F276E6" w:rsidRDefault="00505798" w:rsidP="00505798">
      <w:pPr>
        <w:spacing w:line="360" w:lineRule="auto"/>
        <w:ind w:firstLine="709"/>
        <w:jc w:val="both"/>
        <w:rPr>
          <w:sz w:val="28"/>
          <w:szCs w:val="28"/>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Default="00505798" w:rsidP="00505798">
      <w:pPr>
        <w:suppressAutoHyphens/>
        <w:spacing w:line="360" w:lineRule="auto"/>
        <w:contextualSpacing/>
        <w:jc w:val="center"/>
        <w:rPr>
          <w:b/>
          <w:sz w:val="28"/>
          <w:szCs w:val="28"/>
          <w:lang w:eastAsia="zh-CN"/>
        </w:rPr>
      </w:pPr>
    </w:p>
    <w:p w:rsidR="00505798" w:rsidRPr="00CC3ED9" w:rsidRDefault="00505798" w:rsidP="00505798">
      <w:pPr>
        <w:suppressAutoHyphens/>
        <w:spacing w:line="360" w:lineRule="auto"/>
        <w:contextualSpacing/>
        <w:jc w:val="center"/>
        <w:rPr>
          <w:b/>
          <w:sz w:val="28"/>
          <w:szCs w:val="28"/>
          <w:lang w:eastAsia="zh-CN"/>
        </w:rPr>
      </w:pPr>
      <w:r w:rsidRPr="00CC3ED9">
        <w:rPr>
          <w:b/>
          <w:sz w:val="28"/>
          <w:szCs w:val="28"/>
          <w:lang w:eastAsia="zh-CN"/>
        </w:rPr>
        <w:t>СПИСОК ПУБЛІКАЦІЙ ЗДОБУВАЧА ЗА ТЕМОЮ ДИСЕРТАЦІЇ</w:t>
      </w:r>
    </w:p>
    <w:p w:rsidR="00505798" w:rsidRPr="00CC3ED9" w:rsidRDefault="00505798" w:rsidP="00505798">
      <w:pPr>
        <w:suppressAutoHyphens/>
        <w:spacing w:line="360" w:lineRule="auto"/>
        <w:contextualSpacing/>
        <w:jc w:val="both"/>
        <w:rPr>
          <w:b/>
          <w:i/>
          <w:sz w:val="28"/>
          <w:szCs w:val="28"/>
          <w:lang w:eastAsia="zh-CN"/>
        </w:rPr>
      </w:pPr>
    </w:p>
    <w:p w:rsidR="00505798" w:rsidRPr="00CC3ED9" w:rsidRDefault="00505798" w:rsidP="00505798">
      <w:pPr>
        <w:suppressAutoHyphens/>
        <w:spacing w:line="360" w:lineRule="auto"/>
        <w:ind w:firstLine="709"/>
        <w:contextualSpacing/>
        <w:jc w:val="both"/>
        <w:rPr>
          <w:b/>
          <w:i/>
          <w:sz w:val="28"/>
          <w:szCs w:val="28"/>
          <w:lang w:eastAsia="zh-CN"/>
        </w:rPr>
      </w:pPr>
      <w:r w:rsidRPr="00CC3ED9">
        <w:rPr>
          <w:b/>
          <w:i/>
          <w:sz w:val="28"/>
          <w:szCs w:val="28"/>
          <w:lang w:eastAsia="zh-CN"/>
        </w:rPr>
        <w:t>Наукові праці, в яких опубліковані основні наукові результати дисертації:</w:t>
      </w:r>
    </w:p>
    <w:p w:rsidR="00505798" w:rsidRPr="00CC3ED9" w:rsidRDefault="00505798" w:rsidP="00505798">
      <w:pPr>
        <w:numPr>
          <w:ilvl w:val="0"/>
          <w:numId w:val="1"/>
        </w:numPr>
        <w:tabs>
          <w:tab w:val="left" w:pos="851"/>
          <w:tab w:val="left" w:pos="993"/>
        </w:tabs>
        <w:suppressAutoHyphen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7744ED">
        <w:rPr>
          <w:sz w:val="28"/>
          <w:szCs w:val="28"/>
        </w:rPr>
        <w:t>Вплив новітніх технологій на розвиток системи охорони прав організацій мовлення в Україні і світі</w:t>
      </w:r>
      <w:r>
        <w:rPr>
          <w:sz w:val="28"/>
          <w:szCs w:val="28"/>
        </w:rPr>
        <w:t xml:space="preserve">. </w:t>
      </w:r>
      <w:r w:rsidRPr="00524908">
        <w:rPr>
          <w:i/>
          <w:sz w:val="28"/>
          <w:szCs w:val="28"/>
        </w:rPr>
        <w:t>Часопис Київського університету права: Український науково-теоретичний часопис</w:t>
      </w:r>
      <w:r>
        <w:rPr>
          <w:sz w:val="28"/>
          <w:szCs w:val="28"/>
        </w:rPr>
        <w:t>.</w:t>
      </w:r>
      <w:r w:rsidRPr="004737F5">
        <w:rPr>
          <w:sz w:val="28"/>
          <w:szCs w:val="28"/>
        </w:rPr>
        <w:t xml:space="preserve"> </w:t>
      </w:r>
      <w:r>
        <w:rPr>
          <w:sz w:val="28"/>
          <w:szCs w:val="28"/>
        </w:rPr>
        <w:t xml:space="preserve">2008. </w:t>
      </w:r>
      <w:r w:rsidRPr="004737F5">
        <w:rPr>
          <w:sz w:val="28"/>
          <w:szCs w:val="28"/>
        </w:rPr>
        <w:t>№</w:t>
      </w:r>
      <w:r>
        <w:rPr>
          <w:sz w:val="28"/>
          <w:szCs w:val="28"/>
        </w:rPr>
        <w:t> 2008/3.</w:t>
      </w:r>
      <w:r w:rsidRPr="004737F5">
        <w:rPr>
          <w:sz w:val="28"/>
          <w:szCs w:val="28"/>
        </w:rPr>
        <w:t xml:space="preserve"> </w:t>
      </w:r>
      <w:r>
        <w:rPr>
          <w:sz w:val="28"/>
          <w:szCs w:val="28"/>
          <w:lang w:val="en-US"/>
        </w:rPr>
        <w:t>C</w:t>
      </w:r>
      <w:r w:rsidRPr="004737F5">
        <w:rPr>
          <w:sz w:val="28"/>
          <w:szCs w:val="28"/>
        </w:rPr>
        <w:t>. 245 – 251</w:t>
      </w:r>
      <w:r>
        <w:rPr>
          <w:sz w:val="28"/>
          <w:szCs w:val="28"/>
        </w:rPr>
        <w:t>.</w:t>
      </w:r>
    </w:p>
    <w:p w:rsidR="00505798" w:rsidRDefault="00505798" w:rsidP="00505798">
      <w:pPr>
        <w:numPr>
          <w:ilvl w:val="0"/>
          <w:numId w:val="1"/>
        </w:numPr>
        <w:tabs>
          <w:tab w:val="left" w:pos="567"/>
          <w:tab w:val="left" w:pos="851"/>
          <w:tab w:val="left" w:pos="993"/>
        </w:tab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CD2C31">
        <w:rPr>
          <w:sz w:val="28"/>
          <w:szCs w:val="28"/>
        </w:rPr>
        <w:t>Еволюція змісту і обсягу суміжних прав телерадіоорганізацій в еру цифрового мовлення</w:t>
      </w:r>
      <w:r>
        <w:rPr>
          <w:sz w:val="28"/>
          <w:szCs w:val="28"/>
        </w:rPr>
        <w:t xml:space="preserve">. </w:t>
      </w:r>
      <w:r w:rsidRPr="00524908">
        <w:rPr>
          <w:i/>
          <w:sz w:val="28"/>
          <w:szCs w:val="28"/>
        </w:rPr>
        <w:t>Часопис Київського університету права: Український науково-теоретичний часопис</w:t>
      </w:r>
      <w:r>
        <w:rPr>
          <w:sz w:val="28"/>
          <w:szCs w:val="28"/>
        </w:rPr>
        <w:t>. 2009.</w:t>
      </w:r>
      <w:r w:rsidRPr="004737F5">
        <w:rPr>
          <w:sz w:val="28"/>
          <w:szCs w:val="28"/>
        </w:rPr>
        <w:t xml:space="preserve"> № 2009</w:t>
      </w:r>
      <w:r>
        <w:rPr>
          <w:sz w:val="28"/>
          <w:szCs w:val="28"/>
          <w:lang w:val="en-US"/>
        </w:rPr>
        <w:t> </w:t>
      </w:r>
      <w:r>
        <w:rPr>
          <w:sz w:val="28"/>
          <w:szCs w:val="28"/>
        </w:rPr>
        <w:t>- 3.</w:t>
      </w:r>
      <w:r w:rsidRPr="004737F5">
        <w:rPr>
          <w:sz w:val="28"/>
          <w:szCs w:val="28"/>
        </w:rPr>
        <w:t xml:space="preserve"> </w:t>
      </w:r>
      <w:r>
        <w:rPr>
          <w:sz w:val="28"/>
          <w:szCs w:val="28"/>
          <w:lang w:val="en-US"/>
        </w:rPr>
        <w:t>C</w:t>
      </w:r>
      <w:r w:rsidRPr="004737F5">
        <w:rPr>
          <w:sz w:val="28"/>
          <w:szCs w:val="28"/>
        </w:rPr>
        <w:t>. 178 – 187</w:t>
      </w:r>
      <w:r>
        <w:rPr>
          <w:sz w:val="28"/>
          <w:szCs w:val="28"/>
        </w:rPr>
        <w:t>.</w:t>
      </w:r>
    </w:p>
    <w:p w:rsidR="00505798" w:rsidRDefault="00505798" w:rsidP="00505798">
      <w:pPr>
        <w:numPr>
          <w:ilvl w:val="0"/>
          <w:numId w:val="1"/>
        </w:numPr>
        <w:tabs>
          <w:tab w:val="left" w:pos="567"/>
          <w:tab w:val="left" w:pos="851"/>
          <w:tab w:val="left" w:pos="993"/>
        </w:tab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5E7D52">
        <w:rPr>
          <w:sz w:val="28"/>
          <w:szCs w:val="28"/>
        </w:rPr>
        <w:t>Способи вільного використання програм організацій мовлення у цифрову еру. Обмеження суміжних прав організацій мовлення</w:t>
      </w:r>
      <w:r>
        <w:rPr>
          <w:b/>
          <w:sz w:val="28"/>
          <w:szCs w:val="28"/>
        </w:rPr>
        <w:t>.</w:t>
      </w:r>
      <w:r w:rsidRPr="004737F5">
        <w:rPr>
          <w:sz w:val="28"/>
          <w:szCs w:val="28"/>
        </w:rPr>
        <w:t xml:space="preserve"> </w:t>
      </w:r>
      <w:r w:rsidRPr="00FE6CAC">
        <w:rPr>
          <w:i/>
          <w:sz w:val="28"/>
          <w:szCs w:val="28"/>
        </w:rPr>
        <w:t>Часопис Київського університету права: Український науково-теоретичний часопис</w:t>
      </w:r>
      <w:r>
        <w:rPr>
          <w:sz w:val="28"/>
          <w:szCs w:val="28"/>
        </w:rPr>
        <w:t>. 2011. № 2011/1.</w:t>
      </w:r>
      <w:r w:rsidRPr="004737F5">
        <w:rPr>
          <w:sz w:val="28"/>
          <w:szCs w:val="28"/>
        </w:rPr>
        <w:t xml:space="preserve"> </w:t>
      </w:r>
      <w:r>
        <w:rPr>
          <w:sz w:val="28"/>
          <w:szCs w:val="28"/>
          <w:lang w:val="en-US"/>
        </w:rPr>
        <w:t>C</w:t>
      </w:r>
      <w:r w:rsidRPr="004737F5">
        <w:rPr>
          <w:sz w:val="28"/>
          <w:szCs w:val="28"/>
        </w:rPr>
        <w:t>. 230 – 234</w:t>
      </w:r>
      <w:r>
        <w:rPr>
          <w:sz w:val="28"/>
          <w:szCs w:val="28"/>
        </w:rPr>
        <w:t>.</w:t>
      </w:r>
    </w:p>
    <w:p w:rsidR="00505798" w:rsidRDefault="00505798" w:rsidP="00505798">
      <w:pPr>
        <w:numPr>
          <w:ilvl w:val="0"/>
          <w:numId w:val="1"/>
        </w:numPr>
        <w:tabs>
          <w:tab w:val="left" w:pos="567"/>
          <w:tab w:val="left" w:pos="851"/>
          <w:tab w:val="left" w:pos="993"/>
        </w:tab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5E7D52">
        <w:rPr>
          <w:sz w:val="28"/>
          <w:szCs w:val="28"/>
        </w:rPr>
        <w:t>Проблемні питання захисту суміжних прав організацій мовлення: практика України та європейський досвід</w:t>
      </w:r>
      <w:r>
        <w:rPr>
          <w:b/>
          <w:sz w:val="28"/>
          <w:szCs w:val="28"/>
        </w:rPr>
        <w:t>.</w:t>
      </w:r>
      <w:r w:rsidRPr="004737F5">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2011.</w:t>
      </w:r>
      <w:r w:rsidRPr="004737F5">
        <w:rPr>
          <w:sz w:val="28"/>
          <w:szCs w:val="28"/>
        </w:rPr>
        <w:t xml:space="preserve"> №</w:t>
      </w:r>
      <w:r>
        <w:rPr>
          <w:sz w:val="28"/>
          <w:szCs w:val="28"/>
        </w:rPr>
        <w:t> 2011/3.</w:t>
      </w:r>
      <w:r w:rsidRPr="004737F5">
        <w:rPr>
          <w:sz w:val="28"/>
          <w:szCs w:val="28"/>
        </w:rPr>
        <w:t xml:space="preserve"> </w:t>
      </w:r>
      <w:r>
        <w:rPr>
          <w:sz w:val="28"/>
          <w:szCs w:val="28"/>
          <w:lang w:val="en-US"/>
        </w:rPr>
        <w:t>C</w:t>
      </w:r>
      <w:r w:rsidRPr="004737F5">
        <w:rPr>
          <w:sz w:val="28"/>
          <w:szCs w:val="28"/>
        </w:rPr>
        <w:t>.</w:t>
      </w:r>
      <w:r>
        <w:rPr>
          <w:sz w:val="28"/>
          <w:szCs w:val="28"/>
        </w:rPr>
        <w:t> </w:t>
      </w:r>
      <w:r w:rsidRPr="004737F5">
        <w:rPr>
          <w:sz w:val="28"/>
          <w:szCs w:val="28"/>
        </w:rPr>
        <w:t>219 – 224</w:t>
      </w:r>
      <w:r>
        <w:rPr>
          <w:sz w:val="28"/>
          <w:szCs w:val="28"/>
        </w:rPr>
        <w:t>.</w:t>
      </w:r>
    </w:p>
    <w:p w:rsidR="00505798" w:rsidRDefault="00505798" w:rsidP="00505798">
      <w:pPr>
        <w:numPr>
          <w:ilvl w:val="0"/>
          <w:numId w:val="1"/>
        </w:numPr>
        <w:tabs>
          <w:tab w:val="left" w:pos="851"/>
          <w:tab w:val="left" w:pos="993"/>
        </w:tabs>
        <w:suppressAutoHyphens/>
        <w:spacing w:line="360" w:lineRule="auto"/>
        <w:ind w:left="0" w:firstLine="709"/>
        <w:contextualSpacing/>
        <w:jc w:val="both"/>
        <w:rPr>
          <w:sz w:val="28"/>
          <w:szCs w:val="28"/>
          <w:lang w:eastAsia="ru-RU"/>
        </w:rPr>
      </w:pPr>
      <w:proofErr w:type="spellStart"/>
      <w:r w:rsidRPr="00E43164">
        <w:rPr>
          <w:sz w:val="28"/>
          <w:szCs w:val="28"/>
        </w:rPr>
        <w:t>Стройко</w:t>
      </w:r>
      <w:proofErr w:type="spellEnd"/>
      <w:r w:rsidRPr="00E43164">
        <w:rPr>
          <w:sz w:val="28"/>
          <w:szCs w:val="28"/>
        </w:rPr>
        <w:t xml:space="preserve"> І.А. </w:t>
      </w:r>
      <w:hyperlink r:id="rId7" w:history="1">
        <w:r w:rsidRPr="00B03726">
          <w:rPr>
            <w:rStyle w:val="a3"/>
            <w:color w:val="auto"/>
            <w:sz w:val="28"/>
            <w:szCs w:val="28"/>
            <w:u w:val="none"/>
          </w:rPr>
          <w:t>Аналіз проекту нової редакції Закону України «Про авторське право і суміжні права». Врахування у перспективному законодавстві України сучасного рівня розвитку новітніх технологій</w:t>
        </w:r>
      </w:hyperlink>
      <w:r>
        <w:rPr>
          <w:sz w:val="28"/>
          <w:szCs w:val="28"/>
        </w:rPr>
        <w:t>.</w:t>
      </w:r>
      <w:r w:rsidRPr="00E43164">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xml:space="preserve">. 2012. № 2012/2. </w:t>
      </w:r>
      <w:r>
        <w:rPr>
          <w:sz w:val="28"/>
          <w:szCs w:val="28"/>
          <w:lang w:val="en-US"/>
        </w:rPr>
        <w:t>C</w:t>
      </w:r>
      <w:r w:rsidRPr="00E43164">
        <w:rPr>
          <w:sz w:val="28"/>
          <w:szCs w:val="28"/>
        </w:rPr>
        <w:t>. 267 – 273</w:t>
      </w:r>
      <w:r>
        <w:rPr>
          <w:sz w:val="28"/>
          <w:szCs w:val="28"/>
        </w:rPr>
        <w:t>.</w:t>
      </w:r>
    </w:p>
    <w:p w:rsidR="00505798" w:rsidRPr="00CC3ED9" w:rsidRDefault="00505798" w:rsidP="00505798">
      <w:pPr>
        <w:numPr>
          <w:ilvl w:val="0"/>
          <w:numId w:val="1"/>
        </w:numPr>
        <w:tabs>
          <w:tab w:val="left" w:pos="567"/>
          <w:tab w:val="left" w:pos="851"/>
          <w:tab w:val="left" w:pos="993"/>
        </w:tabs>
        <w:spacing w:line="360" w:lineRule="auto"/>
        <w:ind w:left="0" w:firstLine="709"/>
        <w:contextualSpacing/>
        <w:jc w:val="both"/>
        <w:rPr>
          <w:sz w:val="28"/>
          <w:szCs w:val="28"/>
          <w:lang w:eastAsia="ru-RU"/>
        </w:rPr>
      </w:pPr>
      <w:proofErr w:type="spellStart"/>
      <w:r w:rsidRPr="00092E89">
        <w:rPr>
          <w:sz w:val="28"/>
          <w:szCs w:val="28"/>
        </w:rPr>
        <w:t>Стройко</w:t>
      </w:r>
      <w:proofErr w:type="spellEnd"/>
      <w:r w:rsidRPr="00092E89">
        <w:rPr>
          <w:sz w:val="28"/>
          <w:szCs w:val="28"/>
        </w:rPr>
        <w:t xml:space="preserve"> І.А. Захист суміжних прав організацій мовлення у мережі Інтернет</w:t>
      </w:r>
      <w:r>
        <w:rPr>
          <w:sz w:val="28"/>
          <w:szCs w:val="28"/>
        </w:rPr>
        <w:t>.</w:t>
      </w:r>
      <w:r w:rsidRPr="00092E89">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2017</w:t>
      </w:r>
      <w:r w:rsidRPr="002E1C09">
        <w:rPr>
          <w:sz w:val="28"/>
          <w:szCs w:val="28"/>
        </w:rPr>
        <w:t>. № </w:t>
      </w:r>
      <w:r>
        <w:rPr>
          <w:sz w:val="28"/>
          <w:szCs w:val="28"/>
        </w:rPr>
        <w:t xml:space="preserve">2017/2. </w:t>
      </w:r>
      <w:r>
        <w:rPr>
          <w:sz w:val="28"/>
          <w:szCs w:val="28"/>
          <w:lang w:val="en-US"/>
        </w:rPr>
        <w:t>C</w:t>
      </w:r>
      <w:r>
        <w:rPr>
          <w:sz w:val="28"/>
          <w:szCs w:val="28"/>
        </w:rPr>
        <w:t>. 190 – 195.</w:t>
      </w:r>
    </w:p>
    <w:p w:rsidR="00505798" w:rsidRDefault="00505798" w:rsidP="00505798">
      <w:pPr>
        <w:numPr>
          <w:ilvl w:val="0"/>
          <w:numId w:val="1"/>
        </w:numPr>
        <w:tabs>
          <w:tab w:val="left" w:pos="567"/>
          <w:tab w:val="left" w:pos="851"/>
          <w:tab w:val="left" w:pos="993"/>
        </w:tabs>
        <w:spacing w:line="360" w:lineRule="auto"/>
        <w:ind w:left="0" w:firstLine="709"/>
        <w:contextualSpacing/>
        <w:jc w:val="both"/>
        <w:rPr>
          <w:sz w:val="28"/>
          <w:szCs w:val="28"/>
          <w:lang w:eastAsia="ru-RU"/>
        </w:rPr>
      </w:pPr>
      <w:proofErr w:type="spellStart"/>
      <w:r w:rsidRPr="00EB22A2">
        <w:rPr>
          <w:sz w:val="28"/>
          <w:szCs w:val="28"/>
        </w:rPr>
        <w:lastRenderedPageBreak/>
        <w:t>Стройко</w:t>
      </w:r>
      <w:proofErr w:type="spellEnd"/>
      <w:r w:rsidRPr="00EB22A2">
        <w:rPr>
          <w:sz w:val="28"/>
          <w:szCs w:val="28"/>
        </w:rPr>
        <w:t xml:space="preserve"> І.А. Актуальні проблеми використання технології </w:t>
      </w:r>
      <w:proofErr w:type="spellStart"/>
      <w:r w:rsidRPr="00EB22A2">
        <w:rPr>
          <w:sz w:val="28"/>
          <w:szCs w:val="28"/>
        </w:rPr>
        <w:t>блокчейн</w:t>
      </w:r>
      <w:proofErr w:type="spellEnd"/>
      <w:r w:rsidRPr="00EB22A2">
        <w:rPr>
          <w:sz w:val="28"/>
          <w:szCs w:val="28"/>
        </w:rPr>
        <w:t xml:space="preserve"> для захисту суміжних прав організацій мовлення</w:t>
      </w:r>
      <w:r>
        <w:rPr>
          <w:sz w:val="28"/>
          <w:szCs w:val="28"/>
        </w:rPr>
        <w:t>.</w:t>
      </w:r>
      <w:r w:rsidRPr="00092E89">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2018</w:t>
      </w:r>
      <w:r w:rsidRPr="002E1C09">
        <w:rPr>
          <w:sz w:val="28"/>
          <w:szCs w:val="28"/>
        </w:rPr>
        <w:t>. № </w:t>
      </w:r>
      <w:r>
        <w:rPr>
          <w:sz w:val="28"/>
          <w:szCs w:val="28"/>
        </w:rPr>
        <w:t xml:space="preserve">2018/2. </w:t>
      </w:r>
      <w:r>
        <w:rPr>
          <w:sz w:val="28"/>
          <w:szCs w:val="28"/>
          <w:lang w:val="en-US"/>
        </w:rPr>
        <w:t>C</w:t>
      </w:r>
      <w:r>
        <w:rPr>
          <w:sz w:val="28"/>
          <w:szCs w:val="28"/>
        </w:rPr>
        <w:t>. 2</w:t>
      </w:r>
      <w:r w:rsidRPr="00534713">
        <w:rPr>
          <w:sz w:val="28"/>
          <w:szCs w:val="28"/>
          <w:lang w:val="ru-RU"/>
        </w:rPr>
        <w:t>36</w:t>
      </w:r>
      <w:r>
        <w:rPr>
          <w:sz w:val="28"/>
          <w:szCs w:val="28"/>
        </w:rPr>
        <w:t xml:space="preserve"> – 240.</w:t>
      </w:r>
    </w:p>
    <w:p w:rsidR="00505798" w:rsidRDefault="00505798" w:rsidP="00505798">
      <w:pPr>
        <w:numPr>
          <w:ilvl w:val="0"/>
          <w:numId w:val="1"/>
        </w:numPr>
        <w:tabs>
          <w:tab w:val="left" w:pos="851"/>
          <w:tab w:val="left" w:pos="993"/>
        </w:tabs>
        <w:suppressAutoHyphens/>
        <w:spacing w:line="360" w:lineRule="auto"/>
        <w:ind w:left="0" w:firstLine="709"/>
        <w:contextualSpacing/>
        <w:jc w:val="both"/>
        <w:rPr>
          <w:sz w:val="28"/>
          <w:szCs w:val="28"/>
          <w:lang w:eastAsia="ru-RU"/>
        </w:rPr>
      </w:pPr>
      <w:proofErr w:type="spellStart"/>
      <w:r w:rsidRPr="00E94FF5">
        <w:rPr>
          <w:sz w:val="28"/>
          <w:szCs w:val="28"/>
        </w:rPr>
        <w:t>Стройко</w:t>
      </w:r>
      <w:proofErr w:type="spellEnd"/>
      <w:r w:rsidRPr="00E94FF5">
        <w:rPr>
          <w:sz w:val="28"/>
          <w:szCs w:val="28"/>
        </w:rPr>
        <w:t xml:space="preserve"> І.А. Модернізація законодавства Європейського Союзу у сфері авторського права і суміжних прав </w:t>
      </w:r>
      <w:r>
        <w:rPr>
          <w:sz w:val="28"/>
          <w:szCs w:val="28"/>
        </w:rPr>
        <w:t>у цифрову еру. Вплив на Україну.</w:t>
      </w:r>
      <w:r w:rsidRPr="00E94FF5">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2018</w:t>
      </w:r>
      <w:r w:rsidRPr="002E1C09">
        <w:rPr>
          <w:sz w:val="28"/>
          <w:szCs w:val="28"/>
        </w:rPr>
        <w:t>. № </w:t>
      </w:r>
      <w:r>
        <w:rPr>
          <w:sz w:val="28"/>
          <w:szCs w:val="28"/>
        </w:rPr>
        <w:t xml:space="preserve">2018/4. </w:t>
      </w:r>
      <w:r>
        <w:rPr>
          <w:sz w:val="28"/>
          <w:szCs w:val="28"/>
          <w:lang w:val="en-US"/>
        </w:rPr>
        <w:t>C</w:t>
      </w:r>
      <w:r>
        <w:rPr>
          <w:sz w:val="28"/>
          <w:szCs w:val="28"/>
        </w:rPr>
        <w:t>. 232 – 235.</w:t>
      </w:r>
    </w:p>
    <w:p w:rsidR="00505798" w:rsidRDefault="00505798" w:rsidP="00505798">
      <w:pPr>
        <w:numPr>
          <w:ilvl w:val="0"/>
          <w:numId w:val="1"/>
        </w:numPr>
        <w:tabs>
          <w:tab w:val="left" w:pos="567"/>
          <w:tab w:val="left" w:pos="709"/>
          <w:tab w:val="left" w:pos="851"/>
          <w:tab w:val="left" w:pos="993"/>
        </w:tabs>
        <w:spacing w:line="360" w:lineRule="auto"/>
        <w:ind w:left="0" w:firstLine="709"/>
        <w:contextualSpacing/>
        <w:jc w:val="both"/>
        <w:rPr>
          <w:sz w:val="28"/>
          <w:szCs w:val="28"/>
          <w:lang w:eastAsia="ru-RU"/>
        </w:rPr>
      </w:pPr>
      <w:proofErr w:type="spellStart"/>
      <w:r w:rsidRPr="002E1C09">
        <w:rPr>
          <w:sz w:val="28"/>
          <w:szCs w:val="28"/>
        </w:rPr>
        <w:t>Стройко</w:t>
      </w:r>
      <w:proofErr w:type="spellEnd"/>
      <w:r w:rsidRPr="002E1C09">
        <w:rPr>
          <w:sz w:val="28"/>
          <w:szCs w:val="28"/>
        </w:rPr>
        <w:t xml:space="preserve"> І.А. Новели правового регулювання колективного управління майновими правами правовласників у сфері суміжних прав в Україні</w:t>
      </w:r>
      <w:r>
        <w:rPr>
          <w:sz w:val="28"/>
          <w:szCs w:val="28"/>
        </w:rPr>
        <w:t>.</w:t>
      </w:r>
      <w:r w:rsidRPr="002E1C09">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2019</w:t>
      </w:r>
      <w:r w:rsidRPr="002E1C09">
        <w:rPr>
          <w:sz w:val="28"/>
          <w:szCs w:val="28"/>
        </w:rPr>
        <w:t>. № </w:t>
      </w:r>
      <w:r>
        <w:rPr>
          <w:sz w:val="28"/>
          <w:szCs w:val="28"/>
        </w:rPr>
        <w:t xml:space="preserve">2019/1. </w:t>
      </w:r>
      <w:r>
        <w:rPr>
          <w:sz w:val="28"/>
          <w:szCs w:val="28"/>
          <w:lang w:val="en-US"/>
        </w:rPr>
        <w:t>C</w:t>
      </w:r>
      <w:r>
        <w:rPr>
          <w:sz w:val="28"/>
          <w:szCs w:val="28"/>
        </w:rPr>
        <w:t xml:space="preserve">. </w:t>
      </w:r>
      <w:r w:rsidRPr="002E1C09">
        <w:rPr>
          <w:sz w:val="28"/>
          <w:szCs w:val="28"/>
        </w:rPr>
        <w:t>19</w:t>
      </w:r>
      <w:r w:rsidRPr="009833B0">
        <w:rPr>
          <w:sz w:val="28"/>
          <w:szCs w:val="28"/>
        </w:rPr>
        <w:t>6</w:t>
      </w:r>
      <w:r>
        <w:rPr>
          <w:sz w:val="28"/>
          <w:szCs w:val="28"/>
        </w:rPr>
        <w:t xml:space="preserve"> – 200.</w:t>
      </w:r>
    </w:p>
    <w:p w:rsidR="00505798" w:rsidRDefault="00505798" w:rsidP="00505798">
      <w:pPr>
        <w:numPr>
          <w:ilvl w:val="0"/>
          <w:numId w:val="1"/>
        </w:numPr>
        <w:tabs>
          <w:tab w:val="left" w:pos="567"/>
          <w:tab w:val="left" w:pos="851"/>
          <w:tab w:val="left" w:pos="1134"/>
        </w:tab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A02CFB">
        <w:rPr>
          <w:sz w:val="28"/>
          <w:szCs w:val="28"/>
        </w:rPr>
        <w:t>Адаптація законодавства України до новел законодавства Європейського Союзу у сфері авторського права і сумі</w:t>
      </w:r>
      <w:r>
        <w:rPr>
          <w:sz w:val="28"/>
          <w:szCs w:val="28"/>
        </w:rPr>
        <w:t xml:space="preserve">жних прав в Інтернет-середовищі. </w:t>
      </w:r>
      <w:r w:rsidRPr="00F27502">
        <w:rPr>
          <w:i/>
          <w:sz w:val="28"/>
          <w:szCs w:val="28"/>
        </w:rPr>
        <w:t>Часопис Київського університету права: Український науково-теоретичний часопис</w:t>
      </w:r>
      <w:r>
        <w:rPr>
          <w:sz w:val="28"/>
          <w:szCs w:val="28"/>
        </w:rPr>
        <w:t>. 2019.</w:t>
      </w:r>
      <w:r w:rsidRPr="007744ED">
        <w:rPr>
          <w:sz w:val="28"/>
          <w:szCs w:val="28"/>
        </w:rPr>
        <w:t xml:space="preserve"> №</w:t>
      </w:r>
      <w:r>
        <w:rPr>
          <w:sz w:val="28"/>
          <w:szCs w:val="28"/>
        </w:rPr>
        <w:t xml:space="preserve"> 2019/3. </w:t>
      </w:r>
      <w:r>
        <w:rPr>
          <w:sz w:val="28"/>
          <w:szCs w:val="28"/>
          <w:lang w:val="en-US"/>
        </w:rPr>
        <w:t>C</w:t>
      </w:r>
      <w:r>
        <w:rPr>
          <w:sz w:val="28"/>
          <w:szCs w:val="28"/>
        </w:rPr>
        <w:t>. 205 – 210.</w:t>
      </w:r>
    </w:p>
    <w:p w:rsidR="00505798" w:rsidRDefault="00505798" w:rsidP="00505798">
      <w:pPr>
        <w:numPr>
          <w:ilvl w:val="0"/>
          <w:numId w:val="1"/>
        </w:numPr>
        <w:tabs>
          <w:tab w:val="left" w:pos="567"/>
          <w:tab w:val="left" w:pos="851"/>
          <w:tab w:val="left" w:pos="1134"/>
        </w:tabs>
        <w:spacing w:line="360" w:lineRule="auto"/>
        <w:ind w:left="0" w:firstLine="709"/>
        <w:contextualSpacing/>
        <w:jc w:val="both"/>
        <w:rPr>
          <w:sz w:val="28"/>
          <w:szCs w:val="28"/>
          <w:lang w:eastAsia="ru-RU"/>
        </w:rPr>
      </w:pPr>
      <w:proofErr w:type="spellStart"/>
      <w:r w:rsidRPr="00E07B6E">
        <w:rPr>
          <w:sz w:val="28"/>
          <w:szCs w:val="28"/>
        </w:rPr>
        <w:t>Стройко</w:t>
      </w:r>
      <w:proofErr w:type="spellEnd"/>
      <w:r w:rsidRPr="00E07B6E">
        <w:rPr>
          <w:sz w:val="28"/>
          <w:szCs w:val="28"/>
        </w:rPr>
        <w:t xml:space="preserve"> І.А. Новели правового регулювання платформ спільного доступу до відео у контексті захи</w:t>
      </w:r>
      <w:r>
        <w:rPr>
          <w:sz w:val="28"/>
          <w:szCs w:val="28"/>
        </w:rPr>
        <w:t>сту суміжних прав на програму.</w:t>
      </w:r>
      <w:r w:rsidRPr="00E07B6E">
        <w:rPr>
          <w:sz w:val="28"/>
          <w:szCs w:val="28"/>
        </w:rPr>
        <w:t xml:space="preserve"> </w:t>
      </w:r>
      <w:r w:rsidRPr="00F27502">
        <w:rPr>
          <w:i/>
          <w:sz w:val="28"/>
          <w:szCs w:val="28"/>
        </w:rPr>
        <w:t>Часопис Київського університету права: Український науково-теоретичний часопис</w:t>
      </w:r>
      <w:r>
        <w:rPr>
          <w:sz w:val="28"/>
          <w:szCs w:val="28"/>
        </w:rPr>
        <w:t>. 2020. № 2020/2.</w:t>
      </w:r>
      <w:r w:rsidRPr="00E07B6E">
        <w:rPr>
          <w:sz w:val="28"/>
          <w:szCs w:val="28"/>
        </w:rPr>
        <w:t xml:space="preserve"> </w:t>
      </w:r>
      <w:r>
        <w:rPr>
          <w:sz w:val="28"/>
          <w:szCs w:val="28"/>
          <w:lang w:val="en-US"/>
        </w:rPr>
        <w:t>C</w:t>
      </w:r>
      <w:r w:rsidRPr="00E07B6E">
        <w:rPr>
          <w:sz w:val="28"/>
          <w:szCs w:val="28"/>
        </w:rPr>
        <w:t>.</w:t>
      </w:r>
      <w:r>
        <w:rPr>
          <w:sz w:val="28"/>
          <w:szCs w:val="28"/>
        </w:rPr>
        <w:t> </w:t>
      </w:r>
      <w:r w:rsidRPr="00E07B6E">
        <w:rPr>
          <w:sz w:val="28"/>
          <w:szCs w:val="28"/>
        </w:rPr>
        <w:t>330 – 336</w:t>
      </w:r>
      <w:r>
        <w:rPr>
          <w:sz w:val="28"/>
          <w:szCs w:val="28"/>
        </w:rPr>
        <w:t>.</w:t>
      </w:r>
    </w:p>
    <w:p w:rsidR="00505798" w:rsidRPr="00C43656" w:rsidRDefault="00505798" w:rsidP="00505798">
      <w:pPr>
        <w:numPr>
          <w:ilvl w:val="0"/>
          <w:numId w:val="1"/>
        </w:numPr>
        <w:tabs>
          <w:tab w:val="left" w:pos="567"/>
          <w:tab w:val="left" w:pos="851"/>
          <w:tab w:val="left" w:pos="1134"/>
        </w:tabs>
        <w:spacing w:line="360" w:lineRule="auto"/>
        <w:ind w:left="0" w:firstLine="709"/>
        <w:contextualSpacing/>
        <w:jc w:val="both"/>
        <w:rPr>
          <w:sz w:val="28"/>
          <w:szCs w:val="28"/>
          <w:lang w:eastAsia="ru-RU"/>
        </w:rPr>
      </w:pPr>
      <w:proofErr w:type="spellStart"/>
      <w:r w:rsidRPr="00E07B6E">
        <w:rPr>
          <w:sz w:val="28"/>
          <w:szCs w:val="28"/>
        </w:rPr>
        <w:t>Стройко</w:t>
      </w:r>
      <w:proofErr w:type="spellEnd"/>
      <w:r w:rsidRPr="00E07B6E">
        <w:rPr>
          <w:sz w:val="28"/>
          <w:szCs w:val="28"/>
        </w:rPr>
        <w:t xml:space="preserve"> І.А. Строк дії суміжних прав на програму організації мовлення у контексті </w:t>
      </w:r>
      <w:proofErr w:type="spellStart"/>
      <w:r w:rsidRPr="00E07B6E">
        <w:rPr>
          <w:sz w:val="28"/>
          <w:szCs w:val="28"/>
        </w:rPr>
        <w:t>цифровізаці</w:t>
      </w:r>
      <w:r>
        <w:rPr>
          <w:sz w:val="28"/>
          <w:szCs w:val="28"/>
        </w:rPr>
        <w:t>ї</w:t>
      </w:r>
      <w:proofErr w:type="spellEnd"/>
      <w:r>
        <w:rPr>
          <w:sz w:val="28"/>
          <w:szCs w:val="28"/>
        </w:rPr>
        <w:t xml:space="preserve"> і розвитку нових технологій.</w:t>
      </w:r>
      <w:r w:rsidRPr="00E07B6E">
        <w:rPr>
          <w:sz w:val="28"/>
          <w:szCs w:val="28"/>
        </w:rPr>
        <w:t xml:space="preserve"> </w:t>
      </w:r>
      <w:r w:rsidRPr="00F27502">
        <w:rPr>
          <w:i/>
          <w:sz w:val="28"/>
          <w:szCs w:val="28"/>
        </w:rPr>
        <w:t>Colloquium-journal: польський міжнародний журнал наукових публікацій</w:t>
      </w:r>
      <w:r w:rsidRPr="00E07B6E">
        <w:rPr>
          <w:sz w:val="28"/>
          <w:szCs w:val="28"/>
        </w:rPr>
        <w:t xml:space="preserve">. 2020. </w:t>
      </w:r>
      <w:r w:rsidRPr="00E07B6E">
        <w:rPr>
          <w:sz w:val="28"/>
          <w:szCs w:val="28"/>
          <w:shd w:val="clear" w:color="auto" w:fill="FFFFFF"/>
        </w:rPr>
        <w:t>№</w:t>
      </w:r>
      <w:r>
        <w:rPr>
          <w:sz w:val="28"/>
          <w:szCs w:val="28"/>
          <w:shd w:val="clear" w:color="auto" w:fill="FFFFFF"/>
          <w:lang w:val="en-US"/>
        </w:rPr>
        <w:t> </w:t>
      </w:r>
      <w:r w:rsidRPr="00E07B6E">
        <w:rPr>
          <w:sz w:val="28"/>
          <w:szCs w:val="28"/>
          <w:shd w:val="clear" w:color="auto" w:fill="FFFFFF"/>
        </w:rPr>
        <w:t>28(80)</w:t>
      </w:r>
      <w:r w:rsidRPr="0017085D">
        <w:rPr>
          <w:sz w:val="28"/>
          <w:szCs w:val="28"/>
          <w:shd w:val="clear" w:color="auto" w:fill="FFFFFF"/>
        </w:rPr>
        <w:t xml:space="preserve">. </w:t>
      </w:r>
      <w:r>
        <w:rPr>
          <w:sz w:val="28"/>
          <w:szCs w:val="28"/>
          <w:shd w:val="clear" w:color="auto" w:fill="FFFFFF"/>
          <w:lang w:val="en-US"/>
        </w:rPr>
        <w:t>C</w:t>
      </w:r>
      <w:r>
        <w:rPr>
          <w:sz w:val="28"/>
          <w:szCs w:val="28"/>
          <w:shd w:val="clear" w:color="auto" w:fill="FFFFFF"/>
        </w:rPr>
        <w:t xml:space="preserve">. 63 – 69. </w:t>
      </w:r>
    </w:p>
    <w:p w:rsidR="00505798" w:rsidRPr="00E07B6E" w:rsidRDefault="00505798" w:rsidP="00505798">
      <w:pPr>
        <w:numPr>
          <w:ilvl w:val="0"/>
          <w:numId w:val="1"/>
        </w:numPr>
        <w:tabs>
          <w:tab w:val="left" w:pos="567"/>
          <w:tab w:val="left" w:pos="851"/>
          <w:tab w:val="left" w:pos="1134"/>
        </w:tabs>
        <w:spacing w:line="360" w:lineRule="auto"/>
        <w:ind w:left="0" w:firstLine="709"/>
        <w:contextualSpacing/>
        <w:jc w:val="both"/>
        <w:rPr>
          <w:sz w:val="28"/>
          <w:szCs w:val="28"/>
          <w:lang w:eastAsia="ru-RU"/>
        </w:rPr>
      </w:pPr>
      <w:proofErr w:type="spellStart"/>
      <w:r w:rsidRPr="00E07B6E">
        <w:rPr>
          <w:sz w:val="28"/>
          <w:szCs w:val="28"/>
        </w:rPr>
        <w:t>Стройко</w:t>
      </w:r>
      <w:proofErr w:type="spellEnd"/>
      <w:r w:rsidRPr="00E07B6E">
        <w:rPr>
          <w:sz w:val="28"/>
          <w:szCs w:val="28"/>
        </w:rPr>
        <w:t xml:space="preserve"> І.А. </w:t>
      </w:r>
      <w:r>
        <w:rPr>
          <w:sz w:val="28"/>
          <w:szCs w:val="28"/>
        </w:rPr>
        <w:t xml:space="preserve">Порушення суміжних прав на програму організації мовлення у цифрову еру як підстава для цивільно-правового захисту. </w:t>
      </w:r>
      <w:r w:rsidRPr="00D02850">
        <w:rPr>
          <w:i/>
          <w:sz w:val="28"/>
          <w:szCs w:val="28"/>
          <w:lang w:val="en-US"/>
        </w:rPr>
        <w:t>European Reforms Bulletin</w:t>
      </w:r>
      <w:r w:rsidRPr="00E07B6E">
        <w:rPr>
          <w:sz w:val="28"/>
          <w:szCs w:val="28"/>
        </w:rPr>
        <w:t xml:space="preserve">. 2020. </w:t>
      </w:r>
      <w:r>
        <w:rPr>
          <w:sz w:val="28"/>
          <w:szCs w:val="28"/>
          <w:shd w:val="clear" w:color="auto" w:fill="FFFFFF"/>
        </w:rPr>
        <w:t>№</w:t>
      </w:r>
      <w:r>
        <w:rPr>
          <w:sz w:val="28"/>
          <w:szCs w:val="28"/>
          <w:shd w:val="clear" w:color="auto" w:fill="FFFFFF"/>
          <w:lang w:val="en-US"/>
        </w:rPr>
        <w:t> </w:t>
      </w:r>
      <w:r>
        <w:rPr>
          <w:sz w:val="28"/>
          <w:szCs w:val="28"/>
          <w:shd w:val="clear" w:color="auto" w:fill="FFFFFF"/>
        </w:rPr>
        <w:t xml:space="preserve">3. </w:t>
      </w:r>
      <w:r>
        <w:rPr>
          <w:sz w:val="28"/>
          <w:szCs w:val="28"/>
          <w:shd w:val="clear" w:color="auto" w:fill="FFFFFF"/>
          <w:lang w:val="en-US"/>
        </w:rPr>
        <w:t>C</w:t>
      </w:r>
      <w:r>
        <w:rPr>
          <w:sz w:val="28"/>
          <w:szCs w:val="28"/>
          <w:shd w:val="clear" w:color="auto" w:fill="FFFFFF"/>
        </w:rPr>
        <w:t>. 125 – 130.</w:t>
      </w:r>
    </w:p>
    <w:p w:rsidR="00505798" w:rsidRPr="00AF6A03" w:rsidRDefault="00505798" w:rsidP="00505798">
      <w:pPr>
        <w:tabs>
          <w:tab w:val="left" w:pos="1933"/>
        </w:tabs>
        <w:suppressAutoHyphens/>
        <w:spacing w:line="360" w:lineRule="auto"/>
        <w:ind w:firstLine="567"/>
        <w:contextualSpacing/>
        <w:jc w:val="both"/>
        <w:rPr>
          <w:b/>
          <w:i/>
          <w:sz w:val="28"/>
          <w:szCs w:val="28"/>
          <w:lang w:eastAsia="zh-CN"/>
        </w:rPr>
      </w:pPr>
    </w:p>
    <w:p w:rsidR="00505798" w:rsidRPr="00CC3ED9" w:rsidRDefault="00505798" w:rsidP="00505798">
      <w:pPr>
        <w:tabs>
          <w:tab w:val="left" w:pos="1933"/>
        </w:tabs>
        <w:suppressAutoHyphens/>
        <w:spacing w:line="360" w:lineRule="auto"/>
        <w:ind w:firstLine="709"/>
        <w:contextualSpacing/>
        <w:jc w:val="both"/>
        <w:rPr>
          <w:b/>
          <w:i/>
          <w:sz w:val="28"/>
          <w:szCs w:val="28"/>
          <w:lang w:eastAsia="zh-CN"/>
        </w:rPr>
      </w:pPr>
      <w:r w:rsidRPr="00CC3ED9">
        <w:rPr>
          <w:b/>
          <w:i/>
          <w:sz w:val="28"/>
          <w:szCs w:val="28"/>
          <w:lang w:eastAsia="zh-CN"/>
        </w:rPr>
        <w:t>Наукові праці, які засвідчують апробацію матеріалів дисертації:</w:t>
      </w:r>
    </w:p>
    <w:p w:rsidR="00505798" w:rsidRDefault="00505798" w:rsidP="00505798">
      <w:pPr>
        <w:numPr>
          <w:ilvl w:val="0"/>
          <w:numId w:val="1"/>
        </w:numPr>
        <w:tabs>
          <w:tab w:val="left" w:pos="851"/>
          <w:tab w:val="left" w:pos="1134"/>
        </w:tabs>
        <w:suppressAutoHyphens/>
        <w:spacing w:line="360" w:lineRule="auto"/>
        <w:ind w:left="0" w:firstLine="709"/>
        <w:contextualSpacing/>
        <w:jc w:val="both"/>
        <w:rPr>
          <w:sz w:val="28"/>
          <w:szCs w:val="28"/>
          <w:lang w:eastAsia="ru-RU"/>
        </w:rPr>
      </w:pPr>
      <w:proofErr w:type="spellStart"/>
      <w:r>
        <w:rPr>
          <w:sz w:val="28"/>
          <w:szCs w:val="28"/>
        </w:rPr>
        <w:t>Стройко</w:t>
      </w:r>
      <w:proofErr w:type="spellEnd"/>
      <w:r>
        <w:rPr>
          <w:sz w:val="28"/>
          <w:szCs w:val="28"/>
        </w:rPr>
        <w:t xml:space="preserve"> І.А. </w:t>
      </w:r>
      <w:r w:rsidRPr="00430394">
        <w:rPr>
          <w:sz w:val="28"/>
          <w:szCs w:val="28"/>
        </w:rPr>
        <w:t>Міжнародно-правова охорона прав організацій мовлення у контексті переходу на цифрові формати мовлення і впровадження інноваційних технологій</w:t>
      </w:r>
      <w:r>
        <w:rPr>
          <w:sz w:val="28"/>
          <w:szCs w:val="28"/>
        </w:rPr>
        <w:t>.</w:t>
      </w:r>
      <w:r w:rsidRPr="004737F5">
        <w:rPr>
          <w:sz w:val="28"/>
          <w:szCs w:val="28"/>
        </w:rPr>
        <w:t xml:space="preserve"> </w:t>
      </w:r>
      <w:r w:rsidRPr="007E720E">
        <w:rPr>
          <w:sz w:val="28"/>
          <w:szCs w:val="28"/>
        </w:rPr>
        <w:t xml:space="preserve">Наукові читання, присвячені пам’яті Володимира Михайловича </w:t>
      </w:r>
      <w:r w:rsidRPr="007E720E">
        <w:rPr>
          <w:sz w:val="28"/>
          <w:szCs w:val="28"/>
        </w:rPr>
        <w:lastRenderedPageBreak/>
        <w:t>Корецького</w:t>
      </w:r>
      <w:r>
        <w:rPr>
          <w:sz w:val="28"/>
          <w:szCs w:val="28"/>
        </w:rPr>
        <w:t xml:space="preserve">. Випуск 3-й. </w:t>
      </w:r>
      <w:r w:rsidRPr="004737F5">
        <w:rPr>
          <w:sz w:val="28"/>
          <w:szCs w:val="28"/>
        </w:rPr>
        <w:t>Київ: Видавництво Єв</w:t>
      </w:r>
      <w:r>
        <w:rPr>
          <w:sz w:val="28"/>
          <w:szCs w:val="28"/>
        </w:rPr>
        <w:t>ропейського університету, 2010.</w:t>
      </w:r>
      <w:r w:rsidRPr="004737F5">
        <w:rPr>
          <w:sz w:val="28"/>
          <w:szCs w:val="28"/>
        </w:rPr>
        <w:t xml:space="preserve"> </w:t>
      </w:r>
      <w:r>
        <w:rPr>
          <w:sz w:val="28"/>
          <w:szCs w:val="28"/>
          <w:lang w:val="en-US"/>
        </w:rPr>
        <w:t>C</w:t>
      </w:r>
      <w:r w:rsidRPr="004737F5">
        <w:rPr>
          <w:sz w:val="28"/>
          <w:szCs w:val="28"/>
        </w:rPr>
        <w:t>. 396 – 400</w:t>
      </w:r>
      <w:r>
        <w:rPr>
          <w:sz w:val="28"/>
          <w:szCs w:val="28"/>
        </w:rPr>
        <w:t xml:space="preserve">. </w:t>
      </w:r>
    </w:p>
    <w:p w:rsidR="00505798" w:rsidRDefault="00505798" w:rsidP="00505798">
      <w:pPr>
        <w:numPr>
          <w:ilvl w:val="0"/>
          <w:numId w:val="1"/>
        </w:numPr>
        <w:tabs>
          <w:tab w:val="left" w:pos="567"/>
          <w:tab w:val="left" w:pos="851"/>
          <w:tab w:val="left" w:pos="993"/>
          <w:tab w:val="left" w:pos="1134"/>
        </w:tabs>
        <w:spacing w:line="360" w:lineRule="auto"/>
        <w:ind w:left="0" w:firstLine="709"/>
        <w:contextualSpacing/>
        <w:jc w:val="both"/>
        <w:rPr>
          <w:sz w:val="28"/>
          <w:szCs w:val="28"/>
          <w:lang w:eastAsia="ru-RU"/>
        </w:rPr>
      </w:pPr>
      <w:proofErr w:type="spellStart"/>
      <w:r w:rsidRPr="00E07B6E">
        <w:rPr>
          <w:sz w:val="28"/>
          <w:szCs w:val="28"/>
        </w:rPr>
        <w:t>Стройко</w:t>
      </w:r>
      <w:proofErr w:type="spellEnd"/>
      <w:r w:rsidRPr="00E07B6E">
        <w:rPr>
          <w:sz w:val="28"/>
          <w:szCs w:val="28"/>
        </w:rPr>
        <w:t xml:space="preserve"> І.А. Охорона прав організацій мовлення в Україні і світі у контексті переходу на цифрові формати мовлення і впровад</w:t>
      </w:r>
      <w:r>
        <w:rPr>
          <w:sz w:val="28"/>
          <w:szCs w:val="28"/>
        </w:rPr>
        <w:t>ження інноваційних технологій.</w:t>
      </w:r>
      <w:r w:rsidRPr="00E07B6E">
        <w:rPr>
          <w:sz w:val="28"/>
          <w:szCs w:val="28"/>
        </w:rPr>
        <w:t xml:space="preserve"> </w:t>
      </w:r>
      <w:r w:rsidRPr="00F27502">
        <w:rPr>
          <w:i/>
          <w:sz w:val="28"/>
          <w:szCs w:val="28"/>
        </w:rPr>
        <w:t>Міжнародний науковий вісник</w:t>
      </w:r>
      <w:r>
        <w:rPr>
          <w:sz w:val="28"/>
          <w:szCs w:val="28"/>
        </w:rPr>
        <w:t>. В</w:t>
      </w:r>
      <w:r w:rsidRPr="00E07B6E">
        <w:rPr>
          <w:sz w:val="28"/>
          <w:szCs w:val="28"/>
        </w:rPr>
        <w:t>ипуск 1 (20)</w:t>
      </w:r>
      <w:r>
        <w:rPr>
          <w:sz w:val="28"/>
          <w:szCs w:val="28"/>
        </w:rPr>
        <w:t xml:space="preserve">. Ужгород – Кошице – </w:t>
      </w:r>
      <w:proofErr w:type="spellStart"/>
      <w:r>
        <w:rPr>
          <w:sz w:val="28"/>
          <w:szCs w:val="28"/>
        </w:rPr>
        <w:t>Мішкольц</w:t>
      </w:r>
      <w:proofErr w:type="spellEnd"/>
      <w:r>
        <w:rPr>
          <w:sz w:val="28"/>
          <w:szCs w:val="28"/>
        </w:rPr>
        <w:t>.</w:t>
      </w:r>
      <w:r w:rsidRPr="00E07B6E">
        <w:rPr>
          <w:sz w:val="28"/>
          <w:szCs w:val="28"/>
        </w:rPr>
        <w:t xml:space="preserve"> Закарпатський</w:t>
      </w:r>
      <w:r>
        <w:rPr>
          <w:sz w:val="28"/>
          <w:szCs w:val="28"/>
        </w:rPr>
        <w:t xml:space="preserve"> державний університет, 2010. </w:t>
      </w:r>
      <w:r>
        <w:rPr>
          <w:sz w:val="28"/>
          <w:szCs w:val="28"/>
          <w:lang w:val="en-US"/>
        </w:rPr>
        <w:t>C</w:t>
      </w:r>
      <w:r w:rsidRPr="00E07B6E">
        <w:rPr>
          <w:sz w:val="28"/>
          <w:szCs w:val="28"/>
        </w:rPr>
        <w:t>. 319 – 325</w:t>
      </w:r>
      <w:r>
        <w:rPr>
          <w:sz w:val="28"/>
          <w:szCs w:val="28"/>
        </w:rPr>
        <w:t>.</w:t>
      </w:r>
      <w:r w:rsidRPr="00E07B6E">
        <w:rPr>
          <w:sz w:val="28"/>
          <w:szCs w:val="28"/>
        </w:rPr>
        <w:t xml:space="preserve"> </w:t>
      </w:r>
    </w:p>
    <w:p w:rsidR="00505798" w:rsidRPr="00505798" w:rsidRDefault="00505798" w:rsidP="00505798">
      <w:pPr>
        <w:pStyle w:val="a4"/>
        <w:numPr>
          <w:ilvl w:val="0"/>
          <w:numId w:val="1"/>
        </w:numPr>
        <w:tabs>
          <w:tab w:val="left" w:pos="851"/>
          <w:tab w:val="left" w:pos="1134"/>
        </w:tabs>
        <w:spacing w:line="360" w:lineRule="auto"/>
        <w:ind w:left="0" w:firstLine="709"/>
        <w:jc w:val="both"/>
        <w:rPr>
          <w:rFonts w:ascii="Times New Roman" w:hAnsi="Times New Roman" w:cs="Times New Roman"/>
          <w:sz w:val="28"/>
          <w:szCs w:val="28"/>
          <w:lang w:val="uk-UA"/>
        </w:rPr>
      </w:pPr>
      <w:proofErr w:type="spellStart"/>
      <w:r w:rsidRPr="00505798">
        <w:rPr>
          <w:rFonts w:ascii="Times New Roman" w:hAnsi="Times New Roman" w:cs="Times New Roman"/>
          <w:sz w:val="28"/>
          <w:szCs w:val="28"/>
          <w:lang w:val="uk-UA"/>
        </w:rPr>
        <w:t>Стройко</w:t>
      </w:r>
      <w:proofErr w:type="spellEnd"/>
      <w:r w:rsidRPr="00505798">
        <w:rPr>
          <w:rFonts w:ascii="Times New Roman" w:hAnsi="Times New Roman" w:cs="Times New Roman"/>
          <w:sz w:val="28"/>
          <w:szCs w:val="28"/>
          <w:lang w:val="uk-UA"/>
        </w:rPr>
        <w:t xml:space="preserve"> І.А. Актуальні проблеми охорони прав організацій мовлення в Україні. Зобов’язання перед Європейським Союзом. Актуальні проблеми цивілістики (на прикладі України та Угорщини): збірник наукових праць за матеріалами VIII Міжнародної науково-практичної конференції (28-29 квітня 2017 р.). За </w:t>
      </w:r>
      <w:proofErr w:type="spellStart"/>
      <w:r w:rsidRPr="00505798">
        <w:rPr>
          <w:rFonts w:ascii="Times New Roman" w:hAnsi="Times New Roman" w:cs="Times New Roman"/>
          <w:sz w:val="28"/>
          <w:szCs w:val="28"/>
          <w:lang w:val="uk-UA"/>
        </w:rPr>
        <w:t>заг</w:t>
      </w:r>
      <w:proofErr w:type="spellEnd"/>
      <w:r w:rsidRPr="00505798">
        <w:rPr>
          <w:rFonts w:ascii="Times New Roman" w:hAnsi="Times New Roman" w:cs="Times New Roman"/>
          <w:sz w:val="28"/>
          <w:szCs w:val="28"/>
          <w:lang w:val="uk-UA"/>
        </w:rPr>
        <w:t xml:space="preserve">. ред. проф. Ю. </w:t>
      </w:r>
      <w:proofErr w:type="spellStart"/>
      <w:r w:rsidRPr="00505798">
        <w:rPr>
          <w:rFonts w:ascii="Times New Roman" w:hAnsi="Times New Roman" w:cs="Times New Roman"/>
          <w:sz w:val="28"/>
          <w:szCs w:val="28"/>
          <w:lang w:val="uk-UA"/>
        </w:rPr>
        <w:t>Бошицького</w:t>
      </w:r>
      <w:proofErr w:type="spellEnd"/>
      <w:r w:rsidRPr="00505798">
        <w:rPr>
          <w:rFonts w:ascii="Times New Roman" w:hAnsi="Times New Roman" w:cs="Times New Roman"/>
          <w:sz w:val="28"/>
          <w:szCs w:val="28"/>
          <w:lang w:val="uk-UA"/>
        </w:rPr>
        <w:t xml:space="preserve"> та проф. В. Сікори. К.:</w:t>
      </w:r>
      <w:proofErr w:type="spellStart"/>
      <w:r w:rsidRPr="00505798">
        <w:rPr>
          <w:rFonts w:ascii="Times New Roman" w:hAnsi="Times New Roman" w:cs="Times New Roman"/>
          <w:sz w:val="28"/>
          <w:szCs w:val="28"/>
          <w:lang w:val="uk-UA"/>
        </w:rPr>
        <w:t> Талко</w:t>
      </w:r>
      <w:proofErr w:type="spellEnd"/>
      <w:r w:rsidRPr="00505798">
        <w:rPr>
          <w:rFonts w:ascii="Times New Roman" w:hAnsi="Times New Roman" w:cs="Times New Roman"/>
          <w:sz w:val="28"/>
          <w:szCs w:val="28"/>
          <w:lang w:val="uk-UA"/>
        </w:rPr>
        <w:t>м, 2017.         С. 270 – 275.</w:t>
      </w:r>
      <w:r w:rsidRPr="00505798">
        <w:rPr>
          <w:sz w:val="28"/>
          <w:szCs w:val="28"/>
          <w:lang w:val="uk-UA"/>
        </w:rPr>
        <w:t xml:space="preserve"> </w:t>
      </w:r>
      <w:r w:rsidRPr="00505798">
        <w:rPr>
          <w:rFonts w:ascii="Times New Roman" w:hAnsi="Times New Roman" w:cs="Times New Roman"/>
          <w:sz w:val="28"/>
          <w:szCs w:val="28"/>
          <w:lang w:val="uk-UA"/>
        </w:rPr>
        <w:t xml:space="preserve"> </w:t>
      </w:r>
    </w:p>
    <w:p w:rsidR="00AF612F" w:rsidRDefault="00AF612F"/>
    <w:sectPr w:rsidR="00AF612F" w:rsidSect="0050579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5595"/>
    <w:multiLevelType w:val="hybridMultilevel"/>
    <w:tmpl w:val="E8A0CA76"/>
    <w:lvl w:ilvl="0" w:tplc="C3F2AB7A">
      <w:start w:val="1"/>
      <w:numFmt w:val="decimal"/>
      <w:lvlText w:val="%1."/>
      <w:lvlJc w:val="left"/>
      <w:pPr>
        <w:ind w:left="221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798"/>
    <w:rsid w:val="000E14AB"/>
    <w:rsid w:val="002A6297"/>
    <w:rsid w:val="00505798"/>
    <w:rsid w:val="00510C2A"/>
    <w:rsid w:val="0051239E"/>
    <w:rsid w:val="006201E5"/>
    <w:rsid w:val="00AF612F"/>
    <w:rsid w:val="00B01619"/>
    <w:rsid w:val="00B03726"/>
    <w:rsid w:val="00B03819"/>
    <w:rsid w:val="00DA591B"/>
    <w:rsid w:val="00E24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5798"/>
    <w:rPr>
      <w:color w:val="0000FF"/>
      <w:u w:val="single"/>
    </w:rPr>
  </w:style>
  <w:style w:type="paragraph" w:styleId="a4">
    <w:name w:val="List Paragraph"/>
    <w:basedOn w:val="a"/>
    <w:uiPriority w:val="99"/>
    <w:qFormat/>
    <w:rsid w:val="00505798"/>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rvts23">
    <w:name w:val="rvts23"/>
    <w:rsid w:val="00505798"/>
  </w:style>
  <w:style w:type="paragraph" w:customStyle="1" w:styleId="Preformatted">
    <w:name w:val="Preformatted"/>
    <w:basedOn w:val="a"/>
    <w:rsid w:val="005057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798"/>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05798"/>
    <w:rPr>
      <w:color w:val="0000FF"/>
      <w:u w:val="single"/>
    </w:rPr>
  </w:style>
  <w:style w:type="paragraph" w:styleId="a4">
    <w:name w:val="List Paragraph"/>
    <w:basedOn w:val="a"/>
    <w:uiPriority w:val="99"/>
    <w:qFormat/>
    <w:rsid w:val="00505798"/>
    <w:pPr>
      <w:spacing w:after="200" w:line="276" w:lineRule="auto"/>
      <w:ind w:left="720"/>
      <w:contextualSpacing/>
    </w:pPr>
    <w:rPr>
      <w:rFonts w:asciiTheme="minorHAnsi" w:eastAsiaTheme="minorEastAsia" w:hAnsiTheme="minorHAnsi" w:cstheme="minorBidi"/>
      <w:sz w:val="22"/>
      <w:szCs w:val="22"/>
      <w:lang w:val="ru-RU" w:eastAsia="ru-RU"/>
    </w:rPr>
  </w:style>
  <w:style w:type="character" w:customStyle="1" w:styleId="rvts23">
    <w:name w:val="rvts23"/>
    <w:rsid w:val="00505798"/>
  </w:style>
  <w:style w:type="paragraph" w:customStyle="1" w:styleId="Preformatted">
    <w:name w:val="Preformatted"/>
    <w:basedOn w:val="a"/>
    <w:rsid w:val="00505798"/>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ul.kiev.ua/images/chasop/2012_2/26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6FA1AB-207A-44F4-8EFD-3D5A29C0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12348</Words>
  <Characters>7039</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I.Stroyko</dc:creator>
  <cp:lastModifiedBy>User</cp:lastModifiedBy>
  <cp:revision>2</cp:revision>
  <cp:lastPrinted>2021-04-20T17:44:00Z</cp:lastPrinted>
  <dcterms:created xsi:type="dcterms:W3CDTF">2021-04-22T13:12:00Z</dcterms:created>
  <dcterms:modified xsi:type="dcterms:W3CDTF">2021-04-22T13:12:00Z</dcterms:modified>
</cp:coreProperties>
</file>