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F85" w:rsidRPr="009A5AB5" w:rsidRDefault="00944F85" w:rsidP="005405F0">
      <w:pPr>
        <w:contextualSpacing/>
        <w:jc w:val="right"/>
        <w:rPr>
          <w:b/>
          <w:bCs/>
          <w:i/>
          <w:sz w:val="28"/>
        </w:rPr>
      </w:pPr>
      <w:bookmarkStart w:id="0" w:name="_GoBack"/>
      <w:bookmarkEnd w:id="0"/>
      <w:r w:rsidRPr="009A5AB5">
        <w:rPr>
          <w:b/>
          <w:bCs/>
          <w:i/>
          <w:sz w:val="28"/>
        </w:rPr>
        <w:t xml:space="preserve">Спеціалізована вчена рада </w:t>
      </w:r>
    </w:p>
    <w:p w:rsidR="00944F85" w:rsidRPr="009A5AB5" w:rsidRDefault="00944F85" w:rsidP="005405F0">
      <w:pPr>
        <w:contextualSpacing/>
        <w:jc w:val="right"/>
        <w:rPr>
          <w:b/>
          <w:i/>
          <w:sz w:val="28"/>
        </w:rPr>
      </w:pPr>
      <w:r w:rsidRPr="009A5AB5">
        <w:rPr>
          <w:b/>
          <w:i/>
          <w:sz w:val="28"/>
        </w:rPr>
        <w:t xml:space="preserve">Д 26.236.02 Інституту держави і права ім. В. М. Корецького </w:t>
      </w:r>
    </w:p>
    <w:p w:rsidR="00944F85" w:rsidRPr="009A5AB5" w:rsidRDefault="00944F85" w:rsidP="005405F0">
      <w:pPr>
        <w:contextualSpacing/>
        <w:jc w:val="right"/>
        <w:rPr>
          <w:b/>
          <w:bCs/>
          <w:i/>
          <w:sz w:val="28"/>
        </w:rPr>
      </w:pPr>
      <w:r w:rsidRPr="009A5AB5">
        <w:rPr>
          <w:b/>
          <w:i/>
          <w:sz w:val="28"/>
        </w:rPr>
        <w:t>Національної академії наук України</w:t>
      </w:r>
    </w:p>
    <w:p w:rsidR="00944F85" w:rsidRPr="005405F0" w:rsidRDefault="00944F85" w:rsidP="005405F0">
      <w:pPr>
        <w:spacing w:line="360" w:lineRule="auto"/>
        <w:jc w:val="center"/>
        <w:rPr>
          <w:b/>
          <w:sz w:val="28"/>
          <w:szCs w:val="28"/>
        </w:rPr>
      </w:pPr>
    </w:p>
    <w:p w:rsidR="00944F85" w:rsidRPr="005405F0" w:rsidRDefault="00944F85" w:rsidP="005405F0">
      <w:pPr>
        <w:spacing w:line="360" w:lineRule="auto"/>
        <w:jc w:val="center"/>
        <w:rPr>
          <w:b/>
          <w:sz w:val="28"/>
          <w:szCs w:val="28"/>
        </w:rPr>
      </w:pPr>
      <w:r w:rsidRPr="005405F0">
        <w:rPr>
          <w:b/>
          <w:sz w:val="28"/>
          <w:szCs w:val="28"/>
        </w:rPr>
        <w:t>ВІДГУК</w:t>
      </w:r>
    </w:p>
    <w:p w:rsidR="00944F85" w:rsidRPr="002F39D2" w:rsidRDefault="00944F85" w:rsidP="005405F0">
      <w:pPr>
        <w:spacing w:line="360" w:lineRule="auto"/>
        <w:jc w:val="center"/>
        <w:rPr>
          <w:b/>
          <w:sz w:val="28"/>
          <w:szCs w:val="28"/>
        </w:rPr>
      </w:pPr>
      <w:r w:rsidRPr="005405F0">
        <w:rPr>
          <w:b/>
          <w:sz w:val="28"/>
          <w:szCs w:val="28"/>
        </w:rPr>
        <w:t xml:space="preserve">офіційного опонента </w:t>
      </w:r>
      <w:r>
        <w:rPr>
          <w:b/>
          <w:sz w:val="28"/>
          <w:szCs w:val="28"/>
        </w:rPr>
        <w:t>–</w:t>
      </w:r>
      <w:r w:rsidRPr="005405F0">
        <w:rPr>
          <w:b/>
          <w:sz w:val="28"/>
          <w:szCs w:val="28"/>
        </w:rPr>
        <w:t xml:space="preserve"> доктора юридичних наук, </w:t>
      </w:r>
      <w:r>
        <w:rPr>
          <w:b/>
          <w:sz w:val="28"/>
          <w:szCs w:val="28"/>
        </w:rPr>
        <w:t>старшого наукового співробітника</w:t>
      </w:r>
      <w:r w:rsidRPr="002F39D2">
        <w:rPr>
          <w:b/>
          <w:sz w:val="28"/>
          <w:szCs w:val="28"/>
        </w:rPr>
        <w:t xml:space="preserve"> </w:t>
      </w:r>
      <w:r>
        <w:rPr>
          <w:b/>
          <w:sz w:val="28"/>
          <w:szCs w:val="28"/>
        </w:rPr>
        <w:t>Тимченка Геннадія Петровича</w:t>
      </w:r>
      <w:r w:rsidRPr="002F39D2">
        <w:rPr>
          <w:b/>
          <w:sz w:val="28"/>
          <w:szCs w:val="28"/>
        </w:rPr>
        <w:t xml:space="preserve"> на дисертацію </w:t>
      </w:r>
      <w:r w:rsidRPr="008C2357">
        <w:rPr>
          <w:b/>
          <w:bCs/>
          <w:sz w:val="28"/>
          <w:szCs w:val="28"/>
        </w:rPr>
        <w:t xml:space="preserve">Строкач Ірини Іванівни </w:t>
      </w:r>
      <w:r w:rsidRPr="002F39D2">
        <w:rPr>
          <w:b/>
          <w:sz w:val="28"/>
          <w:szCs w:val="28"/>
        </w:rPr>
        <w:t xml:space="preserve">на тему: </w:t>
      </w:r>
      <w:r w:rsidRPr="008C2357">
        <w:rPr>
          <w:b/>
          <w:bCs/>
          <w:sz w:val="28"/>
          <w:szCs w:val="28"/>
        </w:rPr>
        <w:t>«Виконавчий напис в цивілістичному процесі»</w:t>
      </w:r>
      <w:r w:rsidRPr="002F39D2">
        <w:rPr>
          <w:b/>
          <w:sz w:val="28"/>
          <w:szCs w:val="28"/>
        </w:rPr>
        <w:t xml:space="preserve">, подану </w:t>
      </w:r>
      <w:r w:rsidRPr="008C2357">
        <w:rPr>
          <w:b/>
          <w:bCs/>
          <w:sz w:val="28"/>
          <w:szCs w:val="28"/>
        </w:rPr>
        <w:t>на здобуття наукового ступеня кандидата юридичних наук за спеціальністю 12.00.03 – цивільне право і цивільний процес; сімейне право; міжнародне приватне право</w:t>
      </w:r>
    </w:p>
    <w:p w:rsidR="00944F85" w:rsidRPr="002F39D2" w:rsidRDefault="00944F85" w:rsidP="005405F0">
      <w:pPr>
        <w:spacing w:line="360" w:lineRule="auto"/>
        <w:jc w:val="center"/>
        <w:rPr>
          <w:b/>
          <w:sz w:val="28"/>
          <w:szCs w:val="28"/>
        </w:rPr>
      </w:pPr>
    </w:p>
    <w:p w:rsidR="00944F85" w:rsidRDefault="00944F85" w:rsidP="005A481C">
      <w:pPr>
        <w:spacing w:line="360" w:lineRule="auto"/>
        <w:ind w:firstLine="709"/>
        <w:jc w:val="both"/>
        <w:rPr>
          <w:sz w:val="28"/>
          <w:szCs w:val="28"/>
        </w:rPr>
      </w:pPr>
      <w:r w:rsidRPr="002F39D2">
        <w:rPr>
          <w:b/>
          <w:sz w:val="28"/>
          <w:szCs w:val="28"/>
        </w:rPr>
        <w:t>Актуальність теми дослідження.</w:t>
      </w:r>
      <w:r w:rsidRPr="002F39D2">
        <w:rPr>
          <w:rFonts w:ascii="TimesNewRoman" w:hAnsi="Calibri" w:cs="TimesNewRoman"/>
          <w:sz w:val="20"/>
          <w:szCs w:val="20"/>
          <w:lang w:eastAsia="uk-UA"/>
        </w:rPr>
        <w:t xml:space="preserve"> </w:t>
      </w:r>
      <w:r>
        <w:rPr>
          <w:sz w:val="28"/>
          <w:szCs w:val="28"/>
        </w:rPr>
        <w:t xml:space="preserve">Тема дисертації Строкач І.І. має важливе наукове та практичне значення, оскільки </w:t>
      </w:r>
      <w:r w:rsidRPr="00585B5F">
        <w:rPr>
          <w:sz w:val="28"/>
          <w:szCs w:val="28"/>
        </w:rPr>
        <w:t>зумовлена відсутністю в Україні концептуальних наукових досліджень виконавчого напису нотаріуса як способу захисту прав осіб у цивілістичному процесі</w:t>
      </w:r>
      <w:r>
        <w:rPr>
          <w:sz w:val="28"/>
          <w:szCs w:val="28"/>
        </w:rPr>
        <w:t xml:space="preserve"> (нотаріальному, цивільному та виконавчому). Саме завдяки єдності цих трьох юрисдикційних процесів можливо комплексно дослідити даний міжгалузевий інститут, встановити проблеми, які мають місце у судовій практиці при розгляді судом справ про визнання виконавчого напису таким, що не підлягає виконанню, що надасть можливість внести зміни  у нормативні акти як матеріального, так і процесуального права, зокрема, Закону України «Про нотаріат», Порядок вчинення нотаріальних дій нотаріусами України, Закон України «Про виконавче провадження» тощо.   </w:t>
      </w:r>
    </w:p>
    <w:p w:rsidR="00944F85" w:rsidRPr="00585B5F" w:rsidRDefault="00944F85" w:rsidP="005A481C">
      <w:pPr>
        <w:spacing w:line="360" w:lineRule="auto"/>
        <w:ind w:firstLine="709"/>
        <w:jc w:val="both"/>
        <w:rPr>
          <w:sz w:val="28"/>
          <w:szCs w:val="28"/>
        </w:rPr>
      </w:pPr>
      <w:r>
        <w:rPr>
          <w:sz w:val="28"/>
          <w:szCs w:val="28"/>
        </w:rPr>
        <w:t xml:space="preserve">У </w:t>
      </w:r>
      <w:r w:rsidRPr="00C87A63">
        <w:rPr>
          <w:sz w:val="28"/>
          <w:szCs w:val="28"/>
        </w:rPr>
        <w:t xml:space="preserve">роботі автором сформульовано визначення поняття «виконавчий напис нотаріуса»; </w:t>
      </w:r>
      <w:r>
        <w:rPr>
          <w:sz w:val="28"/>
          <w:szCs w:val="28"/>
        </w:rPr>
        <w:t xml:space="preserve"> проаналізовано та </w:t>
      </w:r>
      <w:r w:rsidRPr="00C87A63">
        <w:rPr>
          <w:sz w:val="28"/>
          <w:szCs w:val="28"/>
        </w:rPr>
        <w:t>узагальнено судову практику щодо визнання виконавчого напису таким, що не підлягає виконанню, виявлено причини оскарження виконавчого напису нотаріуса до суду; визначено шляхи удосконалення нотаріальних</w:t>
      </w:r>
      <w:r w:rsidRPr="00585B5F">
        <w:rPr>
          <w:sz w:val="28"/>
          <w:szCs w:val="28"/>
        </w:rPr>
        <w:t xml:space="preserve"> процедур вчинення виконавчого напису, оскарження виконавчого напису нотаріуса до суду та його примусового виконання.</w:t>
      </w:r>
    </w:p>
    <w:p w:rsidR="00944F85" w:rsidRDefault="00944F85" w:rsidP="005A481C">
      <w:pPr>
        <w:spacing w:line="360" w:lineRule="auto"/>
        <w:ind w:firstLine="709"/>
        <w:jc w:val="both"/>
        <w:rPr>
          <w:b/>
          <w:sz w:val="28"/>
          <w:szCs w:val="28"/>
        </w:rPr>
      </w:pPr>
      <w:r>
        <w:rPr>
          <w:sz w:val="28"/>
          <w:szCs w:val="28"/>
        </w:rPr>
        <w:lastRenderedPageBreak/>
        <w:t>За предметом дослідження відповідає спеціальності 12.00.03 – цивільне право і цивільний процес; сімейне право; міжнародне приватне право. Аналіз роботи дає підстави стверджувати, що мета, яку поставила перед собою дисертантка, загалом досягнута.</w:t>
      </w:r>
    </w:p>
    <w:p w:rsidR="00944F85" w:rsidRDefault="00944F85" w:rsidP="005A481C">
      <w:pPr>
        <w:spacing w:line="360" w:lineRule="auto"/>
        <w:ind w:firstLine="709"/>
        <w:jc w:val="both"/>
        <w:rPr>
          <w:sz w:val="28"/>
          <w:szCs w:val="28"/>
        </w:rPr>
      </w:pPr>
      <w:r>
        <w:rPr>
          <w:b/>
          <w:sz w:val="28"/>
          <w:szCs w:val="28"/>
        </w:rPr>
        <w:t>Оцінка обґрунтованості наукових положень дисертації, їх достовірності та новизни.</w:t>
      </w:r>
      <w:r>
        <w:rPr>
          <w:sz w:val="28"/>
          <w:szCs w:val="28"/>
        </w:rPr>
        <w:t xml:space="preserve"> </w:t>
      </w:r>
    </w:p>
    <w:p w:rsidR="00944F85" w:rsidRDefault="00944F85" w:rsidP="005A481C">
      <w:pPr>
        <w:spacing w:line="360" w:lineRule="auto"/>
        <w:ind w:firstLine="709"/>
        <w:jc w:val="both"/>
        <w:rPr>
          <w:sz w:val="28"/>
          <w:szCs w:val="28"/>
        </w:rPr>
      </w:pPr>
      <w:r>
        <w:rPr>
          <w:sz w:val="28"/>
          <w:szCs w:val="28"/>
        </w:rPr>
        <w:t>Робота</w:t>
      </w:r>
      <w:r w:rsidRPr="00C87A63">
        <w:rPr>
          <w:sz w:val="28"/>
          <w:szCs w:val="28"/>
          <w:shd w:val="clear" w:color="auto" w:fill="FFFFFF"/>
        </w:rPr>
        <w:t xml:space="preserve"> </w:t>
      </w:r>
      <w:r>
        <w:rPr>
          <w:sz w:val="28"/>
          <w:szCs w:val="28"/>
        </w:rPr>
        <w:t xml:space="preserve">містить наукові положення, які мають теоретичне значення і практичну спрямованість. Дисертація Строкач І.І. </w:t>
      </w:r>
      <w:r w:rsidRPr="00C87A63">
        <w:rPr>
          <w:sz w:val="28"/>
          <w:szCs w:val="28"/>
        </w:rPr>
        <w:t>є першим комплексним науковим дослідженням, у якому розглянуто питання виконавчого напису нотаріуса у цивілістичному процесі (нотаріальний, цивільний, виконавчий процеси) в період істотного реформування правової системи України.</w:t>
      </w:r>
    </w:p>
    <w:p w:rsidR="00944F85" w:rsidRDefault="00944F85" w:rsidP="005A481C">
      <w:pPr>
        <w:spacing w:line="360" w:lineRule="auto"/>
        <w:ind w:firstLine="709"/>
        <w:jc w:val="both"/>
        <w:rPr>
          <w:sz w:val="28"/>
          <w:szCs w:val="28"/>
        </w:rPr>
      </w:pPr>
      <w:r>
        <w:rPr>
          <w:sz w:val="28"/>
          <w:szCs w:val="28"/>
        </w:rPr>
        <w:t>Про обґрунтованість наукового дослідження свідчать належно сформульована мета і відповідні їй наукові завдання, добре складений план та послідовність викладення матеріалу дозволили розкрити тему і логічно побудувати основний зміст роботи. Об’єкт і предмет дисертаційного дослідження визначені відповідно до вимог Міністерства освіти і науки України. Методологічна основа дослідження дозволяє стверджувати, що охоплені матеріали в повній мірі сприяли дисертантці у вирішенні наукових задач та досягненні поставленої мети.</w:t>
      </w:r>
    </w:p>
    <w:p w:rsidR="00944F85" w:rsidRPr="005405F0" w:rsidRDefault="00944F85" w:rsidP="005A481C">
      <w:pPr>
        <w:spacing w:line="360" w:lineRule="auto"/>
        <w:ind w:firstLine="709"/>
        <w:jc w:val="both"/>
        <w:rPr>
          <w:sz w:val="28"/>
          <w:szCs w:val="28"/>
        </w:rPr>
      </w:pPr>
      <w:r w:rsidRPr="005405F0">
        <w:rPr>
          <w:sz w:val="28"/>
          <w:szCs w:val="28"/>
        </w:rPr>
        <w:t xml:space="preserve">Основні положення </w:t>
      </w:r>
      <w:r>
        <w:rPr>
          <w:sz w:val="28"/>
          <w:szCs w:val="28"/>
        </w:rPr>
        <w:t>дисертації</w:t>
      </w:r>
      <w:r w:rsidRPr="005405F0">
        <w:rPr>
          <w:sz w:val="28"/>
          <w:szCs w:val="28"/>
        </w:rPr>
        <w:t xml:space="preserve"> опрацьовані із залученням значного масиву спеціальної літератури. </w:t>
      </w:r>
      <w:r w:rsidRPr="005405F0">
        <w:rPr>
          <w:sz w:val="28"/>
        </w:rPr>
        <w:t>На користь дисертан</w:t>
      </w:r>
      <w:r>
        <w:rPr>
          <w:sz w:val="28"/>
        </w:rPr>
        <w:t>тки</w:t>
      </w:r>
      <w:r w:rsidRPr="005405F0">
        <w:rPr>
          <w:sz w:val="28"/>
        </w:rPr>
        <w:t xml:space="preserve"> свідчить проведення дослідження </w:t>
      </w:r>
      <w:r w:rsidRPr="005405F0">
        <w:rPr>
          <w:sz w:val="28"/>
          <w:szCs w:val="28"/>
        </w:rPr>
        <w:t>із залученням значної кількості наукових праць як українських</w:t>
      </w:r>
      <w:r>
        <w:rPr>
          <w:sz w:val="28"/>
          <w:szCs w:val="28"/>
        </w:rPr>
        <w:t>,</w:t>
      </w:r>
      <w:r w:rsidRPr="005405F0">
        <w:rPr>
          <w:sz w:val="28"/>
          <w:szCs w:val="28"/>
        </w:rPr>
        <w:t xml:space="preserve"> так і іноземних авторів, матеріалів судової практики України.</w:t>
      </w:r>
      <w:r>
        <w:rPr>
          <w:sz w:val="28"/>
          <w:szCs w:val="28"/>
        </w:rPr>
        <w:t xml:space="preserve"> Дисертантка не просто цитує джерела, а проводить їх конструктивно-критичний аналіз перед тим, як висловлювати свої гіпотези щодо їх удосконалення або у порівнянні з пропозиціями інших вчених. Дане положення підтверджує правильність її висновків та високий ступінь обґрунтування. Так, здобувачкою використано 220 джерел, що підтверджує й глибину дослідження.  </w:t>
      </w:r>
    </w:p>
    <w:p w:rsidR="00944F85" w:rsidRDefault="00944F85" w:rsidP="005A481C">
      <w:pPr>
        <w:spacing w:line="360" w:lineRule="auto"/>
        <w:ind w:firstLine="709"/>
        <w:jc w:val="both"/>
        <w:rPr>
          <w:sz w:val="28"/>
          <w:szCs w:val="28"/>
        </w:rPr>
      </w:pPr>
      <w:r w:rsidRPr="005405F0">
        <w:rPr>
          <w:sz w:val="28"/>
          <w:szCs w:val="28"/>
        </w:rPr>
        <w:t xml:space="preserve">Щодо </w:t>
      </w:r>
      <w:r w:rsidRPr="005405F0">
        <w:rPr>
          <w:i/>
          <w:sz w:val="28"/>
          <w:szCs w:val="28"/>
        </w:rPr>
        <w:t>першого розділу роботи,</w:t>
      </w:r>
      <w:r w:rsidRPr="005405F0">
        <w:rPr>
          <w:sz w:val="28"/>
          <w:szCs w:val="28"/>
        </w:rPr>
        <w:t xml:space="preserve"> то він присвячений </w:t>
      </w:r>
      <w:r w:rsidRPr="00B968E6">
        <w:rPr>
          <w:sz w:val="28"/>
          <w:szCs w:val="28"/>
        </w:rPr>
        <w:t>теоретичн</w:t>
      </w:r>
      <w:r>
        <w:rPr>
          <w:sz w:val="28"/>
          <w:szCs w:val="28"/>
        </w:rPr>
        <w:t>им</w:t>
      </w:r>
      <w:r w:rsidRPr="00B968E6">
        <w:rPr>
          <w:sz w:val="28"/>
          <w:szCs w:val="28"/>
        </w:rPr>
        <w:t xml:space="preserve"> засад</w:t>
      </w:r>
      <w:r>
        <w:rPr>
          <w:sz w:val="28"/>
          <w:szCs w:val="28"/>
        </w:rPr>
        <w:t>ам</w:t>
      </w:r>
      <w:r w:rsidRPr="00B968E6">
        <w:rPr>
          <w:sz w:val="28"/>
          <w:szCs w:val="28"/>
        </w:rPr>
        <w:t xml:space="preserve"> вчинення нотаріусом виконавчого напису</w:t>
      </w:r>
      <w:r w:rsidRPr="005405F0">
        <w:rPr>
          <w:sz w:val="28"/>
          <w:szCs w:val="28"/>
        </w:rPr>
        <w:t xml:space="preserve"> </w:t>
      </w:r>
      <w:r w:rsidRPr="005405F0">
        <w:rPr>
          <w:bCs/>
          <w:sz w:val="28"/>
          <w:szCs w:val="28"/>
        </w:rPr>
        <w:t>і</w:t>
      </w:r>
      <w:r w:rsidRPr="005405F0">
        <w:rPr>
          <w:sz w:val="28"/>
          <w:szCs w:val="28"/>
        </w:rPr>
        <w:t xml:space="preserve"> характеризується елементами наукової новизни.</w:t>
      </w:r>
      <w:r>
        <w:rPr>
          <w:sz w:val="28"/>
          <w:szCs w:val="28"/>
        </w:rPr>
        <w:t xml:space="preserve"> </w:t>
      </w:r>
    </w:p>
    <w:p w:rsidR="00944F85" w:rsidRDefault="00944F85" w:rsidP="005A481C">
      <w:pPr>
        <w:spacing w:line="360" w:lineRule="auto"/>
        <w:ind w:firstLine="709"/>
        <w:jc w:val="both"/>
        <w:rPr>
          <w:color w:val="000000"/>
          <w:sz w:val="28"/>
          <w:szCs w:val="28"/>
        </w:rPr>
      </w:pPr>
      <w:r w:rsidRPr="005405F0">
        <w:rPr>
          <w:sz w:val="28"/>
          <w:szCs w:val="28"/>
        </w:rPr>
        <w:lastRenderedPageBreak/>
        <w:t>Автор</w:t>
      </w:r>
      <w:r>
        <w:rPr>
          <w:sz w:val="28"/>
          <w:szCs w:val="28"/>
        </w:rPr>
        <w:t xml:space="preserve">ом </w:t>
      </w:r>
      <w:r w:rsidRPr="005405F0">
        <w:rPr>
          <w:sz w:val="28"/>
          <w:szCs w:val="28"/>
        </w:rPr>
        <w:t xml:space="preserve">правильно відзначається, що </w:t>
      </w:r>
      <w:r w:rsidRPr="003F4715">
        <w:rPr>
          <w:sz w:val="28"/>
          <w:szCs w:val="28"/>
        </w:rPr>
        <w:t>останні новели Закону України «Про нотаріат» ще більше наближують діяльність нотаріусів до діяльності суддів, оскільки ст. 34 цього Закону доповнена такою нотаріальною дією: «</w:t>
      </w:r>
      <w:r w:rsidRPr="003F4715">
        <w:rPr>
          <w:color w:val="000000"/>
          <w:sz w:val="28"/>
          <w:szCs w:val="28"/>
        </w:rPr>
        <w:t xml:space="preserve">9-1) накладають заборону щодо відчуження грошових сум, що будуть зараховані заявником вимоги, визначеним відповідно до ч. 4 ст. 65-2 Закону України </w:t>
      </w:r>
      <w:r w:rsidRPr="003F4715">
        <w:rPr>
          <w:sz w:val="28"/>
          <w:szCs w:val="28"/>
        </w:rPr>
        <w:t>«</w:t>
      </w:r>
      <w:r w:rsidRPr="003F4715">
        <w:rPr>
          <w:color w:val="000000"/>
          <w:sz w:val="28"/>
          <w:szCs w:val="28"/>
        </w:rPr>
        <w:t>Про акціонерні товариства</w:t>
      </w:r>
      <w:r w:rsidRPr="003F4715">
        <w:rPr>
          <w:sz w:val="28"/>
          <w:szCs w:val="28"/>
        </w:rPr>
        <w:t>»</w:t>
      </w:r>
      <w:r w:rsidRPr="003F4715">
        <w:rPr>
          <w:color w:val="000000"/>
          <w:sz w:val="28"/>
          <w:szCs w:val="28"/>
        </w:rPr>
        <w:t>, на рахунок умовного зберігання (ескроу), відкритого відповідно до зазначеного закону</w:t>
      </w:r>
      <w:r w:rsidRPr="003F4715">
        <w:rPr>
          <w:sz w:val="28"/>
          <w:szCs w:val="28"/>
        </w:rPr>
        <w:t>»</w:t>
      </w:r>
      <w:r w:rsidRPr="003F4715">
        <w:rPr>
          <w:color w:val="000000"/>
          <w:sz w:val="28"/>
          <w:szCs w:val="28"/>
        </w:rPr>
        <w:t xml:space="preserve">. Така новела свідчить про розширення повноважень нотаріусів, оскільки раніше лише суд накладав таку заборону. </w:t>
      </w:r>
      <w:r w:rsidRPr="00B86B11">
        <w:rPr>
          <w:color w:val="000000"/>
          <w:sz w:val="28"/>
          <w:szCs w:val="28"/>
        </w:rPr>
        <w:t>Відповідно в роботі констатовано, що в Україні створена ситуація нарощування</w:t>
      </w:r>
      <w:r w:rsidRPr="003F4715">
        <w:rPr>
          <w:color w:val="000000"/>
          <w:sz w:val="28"/>
          <w:szCs w:val="28"/>
        </w:rPr>
        <w:t xml:space="preserve"> конкуренції між нотаріатом та судами, що є актуальним в світлі претензій, які пред’являються суспільством до судочинства в Україні.  </w:t>
      </w:r>
    </w:p>
    <w:p w:rsidR="00944F85" w:rsidRPr="005405F0" w:rsidRDefault="00944F85" w:rsidP="005A481C">
      <w:pPr>
        <w:spacing w:line="360" w:lineRule="auto"/>
        <w:ind w:firstLine="709"/>
        <w:jc w:val="both"/>
        <w:rPr>
          <w:sz w:val="28"/>
          <w:szCs w:val="28"/>
        </w:rPr>
      </w:pPr>
      <w:r w:rsidRPr="006B42B5">
        <w:rPr>
          <w:sz w:val="28"/>
          <w:szCs w:val="28"/>
        </w:rPr>
        <w:t>Також варто відмітити, що в роботі здійснено ґрунтовний аналіз джерел, які регулюють питання щодо виконавчого напису нотаріуса, зокрема, автором виявлено недоліки у Законі України «Про іпотеку», Законі України «Про нотаріат», Порядку вчинення нотаріальних дій нотаріусами України та запропоновано внести зміни до зазначених процесуальних актів.</w:t>
      </w:r>
    </w:p>
    <w:p w:rsidR="00944F85" w:rsidRPr="0092636F" w:rsidRDefault="00944F85" w:rsidP="005A481C">
      <w:pPr>
        <w:spacing w:line="360" w:lineRule="auto"/>
        <w:ind w:firstLine="709"/>
        <w:jc w:val="both"/>
        <w:rPr>
          <w:sz w:val="28"/>
          <w:szCs w:val="28"/>
          <w:highlight w:val="yellow"/>
        </w:rPr>
      </w:pPr>
      <w:r w:rsidRPr="005405F0">
        <w:rPr>
          <w:i/>
          <w:sz w:val="28"/>
          <w:szCs w:val="28"/>
        </w:rPr>
        <w:t>Другий розділ</w:t>
      </w:r>
      <w:r w:rsidRPr="005405F0">
        <w:rPr>
          <w:sz w:val="28"/>
          <w:szCs w:val="28"/>
        </w:rPr>
        <w:t xml:space="preserve"> дисертаційного дослідження, в якому розкривається проблематика </w:t>
      </w:r>
      <w:r w:rsidRPr="008F6348">
        <w:rPr>
          <w:sz w:val="28"/>
          <w:szCs w:val="28"/>
        </w:rPr>
        <w:t xml:space="preserve">виконавчого напису нотаріуса у цивільному та виконавчому процесах, також </w:t>
      </w:r>
      <w:r>
        <w:rPr>
          <w:sz w:val="28"/>
          <w:szCs w:val="28"/>
        </w:rPr>
        <w:t xml:space="preserve">характеризується </w:t>
      </w:r>
      <w:r w:rsidRPr="008F6348">
        <w:rPr>
          <w:sz w:val="28"/>
          <w:szCs w:val="28"/>
        </w:rPr>
        <w:t>науково</w:t>
      </w:r>
      <w:r>
        <w:rPr>
          <w:sz w:val="28"/>
          <w:szCs w:val="28"/>
        </w:rPr>
        <w:t>ю</w:t>
      </w:r>
      <w:r w:rsidRPr="008F6348">
        <w:rPr>
          <w:sz w:val="28"/>
          <w:szCs w:val="28"/>
        </w:rPr>
        <w:t xml:space="preserve"> новизн</w:t>
      </w:r>
      <w:r>
        <w:rPr>
          <w:sz w:val="28"/>
          <w:szCs w:val="28"/>
        </w:rPr>
        <w:t>ою</w:t>
      </w:r>
      <w:r w:rsidRPr="008F6348">
        <w:rPr>
          <w:sz w:val="28"/>
          <w:szCs w:val="28"/>
        </w:rPr>
        <w:t xml:space="preserve">. </w:t>
      </w:r>
    </w:p>
    <w:p w:rsidR="00944F85" w:rsidRPr="003F4715" w:rsidRDefault="00944F85" w:rsidP="005A481C">
      <w:pPr>
        <w:spacing w:line="360" w:lineRule="auto"/>
        <w:ind w:firstLine="709"/>
        <w:jc w:val="both"/>
        <w:rPr>
          <w:sz w:val="28"/>
          <w:szCs w:val="28"/>
        </w:rPr>
      </w:pPr>
      <w:r w:rsidRPr="006732C5">
        <w:rPr>
          <w:sz w:val="28"/>
          <w:szCs w:val="28"/>
        </w:rPr>
        <w:t>В роботі проводиться аналіз судової практики щодо визнання виконавчого напису таким, що не підлягає виконанню, досліджено судову практику та позиції вчених. Робиться вірний наголос на тому, що якщо предметом спору є визнання виконавчого напису недійсним, то такий предмет позову відповідає нормам цивільного та цивільного процесуального</w:t>
      </w:r>
      <w:r w:rsidRPr="0070652F">
        <w:rPr>
          <w:sz w:val="28"/>
          <w:szCs w:val="28"/>
        </w:rPr>
        <w:t xml:space="preserve"> законодавства України, оскільки базується на правочині стягувача, посвідченому нотаріусом. Зроблено висновок щодо правового змісту виконавчого напису в контексті ст. 16 ЦК України, його квінтесенція – це визнання нотаріусом права</w:t>
      </w:r>
      <w:r w:rsidRPr="003F4715">
        <w:rPr>
          <w:sz w:val="28"/>
          <w:szCs w:val="28"/>
        </w:rPr>
        <w:t xml:space="preserve"> кредитора на примусове виконання невиконаного боржником зобов’язання.</w:t>
      </w:r>
    </w:p>
    <w:p w:rsidR="00944F85" w:rsidRPr="003F4715" w:rsidRDefault="00944F85" w:rsidP="005A481C">
      <w:pPr>
        <w:spacing w:line="360" w:lineRule="auto"/>
        <w:ind w:firstLine="709"/>
        <w:jc w:val="both"/>
        <w:rPr>
          <w:sz w:val="28"/>
          <w:szCs w:val="28"/>
        </w:rPr>
      </w:pPr>
      <w:r w:rsidRPr="003F4715">
        <w:rPr>
          <w:sz w:val="28"/>
          <w:szCs w:val="28"/>
        </w:rPr>
        <w:t>Детальний аналіз</w:t>
      </w:r>
      <w:r>
        <w:rPr>
          <w:sz w:val="28"/>
          <w:szCs w:val="28"/>
        </w:rPr>
        <w:t xml:space="preserve"> дисертанткою </w:t>
      </w:r>
      <w:r w:rsidRPr="003F4715">
        <w:rPr>
          <w:sz w:val="28"/>
          <w:szCs w:val="28"/>
        </w:rPr>
        <w:t xml:space="preserve"> судової практики, зокрема, цивільного і господарського судочинства свідчить </w:t>
      </w:r>
      <w:r w:rsidRPr="0070652F">
        <w:rPr>
          <w:sz w:val="28"/>
          <w:szCs w:val="28"/>
        </w:rPr>
        <w:t xml:space="preserve">про наявність проблеми вчинення </w:t>
      </w:r>
      <w:r w:rsidRPr="0070652F">
        <w:rPr>
          <w:sz w:val="28"/>
          <w:szCs w:val="28"/>
        </w:rPr>
        <w:lastRenderedPageBreak/>
        <w:t>нотаріусами даної нотаріальної ді</w:t>
      </w:r>
      <w:r>
        <w:rPr>
          <w:sz w:val="28"/>
          <w:szCs w:val="28"/>
        </w:rPr>
        <w:t>ї</w:t>
      </w:r>
      <w:r w:rsidRPr="0070652F">
        <w:rPr>
          <w:sz w:val="28"/>
          <w:szCs w:val="28"/>
        </w:rPr>
        <w:t>, оскільки значна кількість виконавчих написів нотаріусів в судовому порядку визнаються такими, що не підлягають виконанню. Це пов’язано як з намаганням</w:t>
      </w:r>
      <w:r w:rsidRPr="003F4715">
        <w:rPr>
          <w:sz w:val="28"/>
          <w:szCs w:val="28"/>
        </w:rPr>
        <w:t xml:space="preserve"> боржників захистити свої інтереси від спроби кредиторів задовольнити вимоги таким способом, так і з недосконалістю правового регулювання процедури вчинення виконавчих написів, під час якої кредиторами та нотаріусами допускаються помилки, що дають змогу в судовому порядку оспорювати відповідні дії.</w:t>
      </w:r>
    </w:p>
    <w:p w:rsidR="00944F85" w:rsidRDefault="00944F85" w:rsidP="005A481C">
      <w:pPr>
        <w:spacing w:line="360" w:lineRule="auto"/>
        <w:ind w:firstLine="709"/>
        <w:jc w:val="both"/>
        <w:rPr>
          <w:sz w:val="28"/>
          <w:szCs w:val="28"/>
          <w:highlight w:val="yellow"/>
        </w:rPr>
      </w:pPr>
      <w:r w:rsidRPr="003F4715">
        <w:rPr>
          <w:sz w:val="28"/>
          <w:szCs w:val="28"/>
        </w:rPr>
        <w:t>Автором виділено найбільш поширені підстави для визнання виконавчого напису таким, що не підлягає виконанню</w:t>
      </w:r>
      <w:r>
        <w:rPr>
          <w:sz w:val="28"/>
          <w:szCs w:val="28"/>
        </w:rPr>
        <w:t>.</w:t>
      </w:r>
    </w:p>
    <w:p w:rsidR="00944F85" w:rsidRPr="006732C5" w:rsidRDefault="00944F85" w:rsidP="005A481C">
      <w:pPr>
        <w:spacing w:line="360" w:lineRule="auto"/>
        <w:ind w:firstLine="709"/>
        <w:jc w:val="both"/>
        <w:rPr>
          <w:sz w:val="28"/>
          <w:szCs w:val="28"/>
        </w:rPr>
      </w:pPr>
      <w:r w:rsidRPr="006732C5">
        <w:rPr>
          <w:sz w:val="28"/>
          <w:szCs w:val="28"/>
        </w:rPr>
        <w:t xml:space="preserve">Не залишилася поза увагою автора й проблема визначення юрисдикції судів щодо виконавчих написів та процесуального статусу в цивільних справах нотаріуса, який вчинив виконавчий напис. </w:t>
      </w:r>
    </w:p>
    <w:p w:rsidR="00944F85" w:rsidRDefault="00944F85" w:rsidP="005A481C">
      <w:pPr>
        <w:spacing w:line="360" w:lineRule="auto"/>
        <w:ind w:firstLine="709"/>
        <w:jc w:val="both"/>
        <w:rPr>
          <w:sz w:val="28"/>
          <w:szCs w:val="28"/>
        </w:rPr>
      </w:pPr>
      <w:r w:rsidRPr="006732C5">
        <w:rPr>
          <w:sz w:val="28"/>
          <w:szCs w:val="28"/>
        </w:rPr>
        <w:t xml:space="preserve">Заслуговує на увагу точка зору автора про </w:t>
      </w:r>
      <w:r>
        <w:rPr>
          <w:sz w:val="28"/>
          <w:szCs w:val="28"/>
        </w:rPr>
        <w:t>необхідність</w:t>
      </w:r>
      <w:r w:rsidRPr="003F4715">
        <w:rPr>
          <w:sz w:val="28"/>
          <w:szCs w:val="28"/>
        </w:rPr>
        <w:t xml:space="preserve"> ч. 2 ст. 388 ЦК України викласти у такій редакції: «2. Майно не може бути витребувано від добросовісного набувача, якщо воно було продане у порядку, встановленому для виконання судових рішень, і публічні торги не були визнані судом недійсними»</w:t>
      </w:r>
      <w:r>
        <w:rPr>
          <w:sz w:val="28"/>
          <w:szCs w:val="28"/>
        </w:rPr>
        <w:t>.</w:t>
      </w:r>
    </w:p>
    <w:p w:rsidR="00944F85" w:rsidRDefault="00944F85" w:rsidP="005A481C">
      <w:pPr>
        <w:spacing w:line="360" w:lineRule="auto"/>
        <w:ind w:firstLine="709"/>
        <w:jc w:val="both"/>
        <w:rPr>
          <w:sz w:val="28"/>
          <w:szCs w:val="28"/>
        </w:rPr>
      </w:pPr>
      <w:r>
        <w:rPr>
          <w:sz w:val="28"/>
          <w:szCs w:val="28"/>
        </w:rPr>
        <w:t>Уваги заслуговує і пропозиція автора щодо створення реєстру чинних виконавчих написів нотаріусів.</w:t>
      </w:r>
    </w:p>
    <w:p w:rsidR="00944F85" w:rsidRDefault="00944F85" w:rsidP="005A481C">
      <w:pPr>
        <w:spacing w:line="360" w:lineRule="auto"/>
        <w:ind w:firstLine="709"/>
        <w:jc w:val="both"/>
        <w:rPr>
          <w:color w:val="000000"/>
          <w:sz w:val="28"/>
          <w:szCs w:val="28"/>
        </w:rPr>
      </w:pPr>
      <w:r w:rsidRPr="00F8293B">
        <w:rPr>
          <w:color w:val="000000"/>
          <w:sz w:val="28"/>
          <w:szCs w:val="28"/>
        </w:rPr>
        <w:t xml:space="preserve">Автор </w:t>
      </w:r>
      <w:r>
        <w:rPr>
          <w:color w:val="000000"/>
          <w:sz w:val="28"/>
          <w:szCs w:val="28"/>
        </w:rPr>
        <w:t xml:space="preserve">у дисертаційному дослідженні </w:t>
      </w:r>
      <w:r w:rsidRPr="00F8293B">
        <w:rPr>
          <w:color w:val="000000"/>
          <w:sz w:val="28"/>
          <w:szCs w:val="28"/>
        </w:rPr>
        <w:t>обґрунтовує необхідність надати виконавцям інформацію щодо реєстрації виконавчого напису нотаріуса, щоб</w:t>
      </w:r>
      <w:r w:rsidRPr="003F4715">
        <w:rPr>
          <w:color w:val="000000"/>
          <w:sz w:val="28"/>
          <w:szCs w:val="28"/>
        </w:rPr>
        <w:t xml:space="preserve"> в них з’явилася можливість перевірити відсутність його скасування, оспорення або щодо внесення змін до його змісту. Тому має бути створений реєстр чинних виконавчих написів нотаріусів.</w:t>
      </w:r>
    </w:p>
    <w:p w:rsidR="00944F85" w:rsidRPr="006732C5" w:rsidRDefault="00944F85" w:rsidP="005A481C">
      <w:pPr>
        <w:spacing w:line="360" w:lineRule="auto"/>
        <w:ind w:firstLine="709"/>
        <w:jc w:val="both"/>
        <w:rPr>
          <w:color w:val="000000"/>
          <w:sz w:val="28"/>
          <w:szCs w:val="28"/>
        </w:rPr>
      </w:pPr>
      <w:r w:rsidRPr="006732C5">
        <w:rPr>
          <w:sz w:val="28"/>
          <w:szCs w:val="28"/>
        </w:rPr>
        <w:t>У роботі дисертанткою досліджені особливості примусового виконання рішень судів та виконавчих написів нотаріусів: порівняльний аспект і взаємодія судів, нотаріусів та виконавців. Проаналізовані повноваження перелічених осіб в процесі відновлення порушених прав. Обґрунтовано, що новела Закону України «Про виконавче провадження» про виключення  із його норм строку, в межах якого боржник мав право добровільно виконати рішення</w:t>
      </w:r>
      <w:r w:rsidRPr="003F4715">
        <w:rPr>
          <w:sz w:val="28"/>
          <w:szCs w:val="28"/>
        </w:rPr>
        <w:t xml:space="preserve"> (в цей період не стягувався виконавчий </w:t>
      </w:r>
      <w:r w:rsidRPr="00F8293B">
        <w:rPr>
          <w:sz w:val="28"/>
          <w:szCs w:val="28"/>
        </w:rPr>
        <w:t xml:space="preserve">збір), зобов’язує переглянути діяльність інших </w:t>
      </w:r>
      <w:r w:rsidRPr="00F8293B">
        <w:rPr>
          <w:sz w:val="28"/>
          <w:szCs w:val="28"/>
        </w:rPr>
        <w:lastRenderedPageBreak/>
        <w:t>правоохоронних і правозахисних органів, щоб їх необізнаність не була використана їм на шкоду. При зверненні виконавчо</w:t>
      </w:r>
      <w:r w:rsidRPr="003F4715">
        <w:rPr>
          <w:sz w:val="28"/>
          <w:szCs w:val="28"/>
        </w:rPr>
        <w:t xml:space="preserve">го напису до </w:t>
      </w:r>
      <w:r w:rsidRPr="00F8293B">
        <w:rPr>
          <w:sz w:val="28"/>
          <w:szCs w:val="28"/>
        </w:rPr>
        <w:t xml:space="preserve">примусового виконання відбувається </w:t>
      </w:r>
      <w:r w:rsidRPr="00F8293B">
        <w:rPr>
          <w:color w:val="000000"/>
          <w:sz w:val="28"/>
          <w:szCs w:val="28"/>
        </w:rPr>
        <w:t>збільшення заборгованості боржника на 12 відсотків, що є важливою юридичною обставиною, про яку його зобов’язані завчасно повідомляти. Тому  боржника необхідно повідомляти про вчинений виконавчий напис і надавати йому строк для добровільного виконання рішення. Домовленість між боржником та стягувачем за ч. 8 ст. 26 Закону України «Про виконавче провадження» матиме місце тоді, коли на боржника ляже обов’язок у додаткових 12 відсотків, а не до відкриття виконавчого провадження</w:t>
      </w:r>
      <w:r w:rsidRPr="003F4715">
        <w:rPr>
          <w:color w:val="000000"/>
          <w:sz w:val="28"/>
          <w:szCs w:val="28"/>
        </w:rPr>
        <w:t>. І про це у ч. 8 ст. 26 Закону України «Про виконавче провадження» нічого не сказано. Хоча для боржника і цей етап є вигідним для укладання, по суті, мирової угоди на зазначених умовах, оскільки при організації і проведенні електронних торгів він може втратити додатково ще 5 відсотків, а при переоцінці і зменшенні розміру стартової ціни на торгах – ще більше.</w:t>
      </w:r>
      <w:r>
        <w:rPr>
          <w:color w:val="000000"/>
          <w:sz w:val="28"/>
          <w:szCs w:val="28"/>
        </w:rPr>
        <w:t xml:space="preserve"> </w:t>
      </w:r>
      <w:r w:rsidRPr="006732C5">
        <w:rPr>
          <w:sz w:val="28"/>
          <w:szCs w:val="28"/>
        </w:rPr>
        <w:t>Саме в цьому процесуальному аспекті проблематика виконавчого напису нотаріуса в цивілістичному процесі досліджена у другому розділі дисертаційної роботи.</w:t>
      </w:r>
    </w:p>
    <w:p w:rsidR="00944F85" w:rsidRPr="005405F0" w:rsidRDefault="00944F85" w:rsidP="005A481C">
      <w:pPr>
        <w:spacing w:line="360" w:lineRule="auto"/>
        <w:ind w:firstLine="709"/>
        <w:jc w:val="both"/>
        <w:rPr>
          <w:b/>
          <w:sz w:val="28"/>
          <w:szCs w:val="28"/>
        </w:rPr>
      </w:pPr>
      <w:r w:rsidRPr="005405F0">
        <w:rPr>
          <w:b/>
          <w:sz w:val="28"/>
          <w:szCs w:val="28"/>
        </w:rPr>
        <w:t>Викладення основних положень дисертації в опублікованих працях</w:t>
      </w:r>
    </w:p>
    <w:p w:rsidR="00944F85" w:rsidRPr="003F4715" w:rsidRDefault="00944F85" w:rsidP="005A481C">
      <w:pPr>
        <w:spacing w:line="360" w:lineRule="auto"/>
        <w:ind w:firstLine="709"/>
        <w:jc w:val="both"/>
        <w:rPr>
          <w:sz w:val="28"/>
          <w:szCs w:val="28"/>
        </w:rPr>
      </w:pPr>
      <w:r w:rsidRPr="003F4715">
        <w:rPr>
          <w:sz w:val="28"/>
          <w:szCs w:val="28"/>
        </w:rPr>
        <w:t>Основні положення та висновки дисертації викладено у п’ятнадцяти наукових публікаціях, з яких п’ять статей опубліковано у фахових періодичних виданнях України, дві – у іноземних фахових виданнях, шість – в інших виданнях та двох тезах доповідей на науково-практичних конференціях.</w:t>
      </w:r>
    </w:p>
    <w:p w:rsidR="00944F85" w:rsidRPr="005405F0" w:rsidRDefault="00944F85" w:rsidP="005A481C">
      <w:pPr>
        <w:spacing w:line="360" w:lineRule="auto"/>
        <w:ind w:firstLine="709"/>
        <w:jc w:val="both"/>
        <w:rPr>
          <w:sz w:val="28"/>
          <w:szCs w:val="28"/>
        </w:rPr>
      </w:pPr>
      <w:r w:rsidRPr="005405F0">
        <w:rPr>
          <w:sz w:val="28"/>
          <w:szCs w:val="28"/>
        </w:rPr>
        <w:t>Зміст автореферату повністю відображає основні положення та висновки дисертації.</w:t>
      </w:r>
    </w:p>
    <w:p w:rsidR="00944F85" w:rsidRPr="005405F0" w:rsidRDefault="00944F85" w:rsidP="005A481C">
      <w:pPr>
        <w:spacing w:line="360" w:lineRule="auto"/>
        <w:ind w:firstLine="709"/>
        <w:jc w:val="both"/>
        <w:rPr>
          <w:b/>
          <w:sz w:val="28"/>
          <w:szCs w:val="28"/>
        </w:rPr>
      </w:pPr>
      <w:r w:rsidRPr="005405F0">
        <w:rPr>
          <w:b/>
          <w:sz w:val="28"/>
          <w:szCs w:val="28"/>
        </w:rPr>
        <w:t>Рекомендації щодо використання результатів та висновків дисертації</w:t>
      </w:r>
    </w:p>
    <w:p w:rsidR="00944F85" w:rsidRPr="0092636F" w:rsidRDefault="00944F85" w:rsidP="005A481C">
      <w:pPr>
        <w:spacing w:line="360" w:lineRule="auto"/>
        <w:ind w:firstLine="709"/>
        <w:jc w:val="both"/>
        <w:rPr>
          <w:sz w:val="28"/>
          <w:szCs w:val="28"/>
        </w:rPr>
      </w:pPr>
      <w:r w:rsidRPr="0092636F">
        <w:rPr>
          <w:sz w:val="28"/>
          <w:szCs w:val="28"/>
        </w:rPr>
        <w:t xml:space="preserve">Значимість дисертаційного дослідження </w:t>
      </w:r>
      <w:r w:rsidRPr="0092636F">
        <w:rPr>
          <w:bCs/>
          <w:color w:val="262626"/>
          <w:sz w:val="28"/>
          <w:szCs w:val="28"/>
        </w:rPr>
        <w:t>полягає в тому, що с</w:t>
      </w:r>
      <w:r w:rsidRPr="0092636F">
        <w:rPr>
          <w:sz w:val="28"/>
          <w:szCs w:val="28"/>
        </w:rPr>
        <w:t>формульовані в дослідженні пропозиції та висновки можуть бути використані для подальшої теоретичної розробки й удосконалення інституту виконавчого напису нотаріуса у цивілістичному процесі, зокрема:</w:t>
      </w:r>
    </w:p>
    <w:p w:rsidR="00944F85" w:rsidRPr="0092636F" w:rsidRDefault="00944F85" w:rsidP="005A481C">
      <w:pPr>
        <w:spacing w:line="360" w:lineRule="auto"/>
        <w:ind w:firstLine="709"/>
        <w:jc w:val="both"/>
        <w:rPr>
          <w:sz w:val="28"/>
          <w:szCs w:val="28"/>
        </w:rPr>
      </w:pPr>
      <w:r w:rsidRPr="0092636F">
        <w:rPr>
          <w:sz w:val="28"/>
          <w:szCs w:val="28"/>
        </w:rPr>
        <w:t xml:space="preserve">- </w:t>
      </w:r>
      <w:r w:rsidRPr="0092636F">
        <w:rPr>
          <w:i/>
          <w:iCs/>
          <w:sz w:val="28"/>
          <w:szCs w:val="28"/>
        </w:rPr>
        <w:t>у сфері нормотворчості</w:t>
      </w:r>
      <w:r w:rsidRPr="0092636F">
        <w:rPr>
          <w:sz w:val="28"/>
          <w:szCs w:val="28"/>
        </w:rPr>
        <w:t xml:space="preserve"> – для вдосконалення національного законодавства, а саме: ЦК України, ЦПК України, Закону України «Про </w:t>
      </w:r>
      <w:r w:rsidRPr="0092636F">
        <w:rPr>
          <w:sz w:val="28"/>
          <w:szCs w:val="28"/>
        </w:rPr>
        <w:lastRenderedPageBreak/>
        <w:t xml:space="preserve">нотаріат», Закону України «Про виконавче провадження» та Порядку вчинення нотаріальних дій нотаріусами України; </w:t>
      </w:r>
    </w:p>
    <w:p w:rsidR="00944F85" w:rsidRPr="0092636F" w:rsidRDefault="00944F85" w:rsidP="005A481C">
      <w:pPr>
        <w:spacing w:line="360" w:lineRule="auto"/>
        <w:ind w:firstLine="709"/>
        <w:jc w:val="both"/>
        <w:rPr>
          <w:sz w:val="28"/>
          <w:szCs w:val="28"/>
        </w:rPr>
      </w:pPr>
      <w:r w:rsidRPr="0092636F">
        <w:rPr>
          <w:sz w:val="28"/>
          <w:szCs w:val="28"/>
        </w:rPr>
        <w:t xml:space="preserve">- </w:t>
      </w:r>
      <w:r w:rsidRPr="0092636F">
        <w:rPr>
          <w:i/>
          <w:iCs/>
          <w:sz w:val="28"/>
          <w:szCs w:val="28"/>
        </w:rPr>
        <w:t>у правозастосовній діяльності</w:t>
      </w:r>
      <w:r w:rsidRPr="0092636F">
        <w:rPr>
          <w:sz w:val="28"/>
          <w:szCs w:val="28"/>
        </w:rPr>
        <w:t xml:space="preserve"> – при посвідченні договорів та вчиненні нотаріусами виконавчих написів, при розгляді судами справ про визнання виконавчих написів нотаріусів такими, що не підлягають виконанню, при примусовому виконання виконавчих написів нотаріусів;</w:t>
      </w:r>
    </w:p>
    <w:p w:rsidR="00944F85" w:rsidRPr="003F4715" w:rsidRDefault="00944F85" w:rsidP="005A481C">
      <w:pPr>
        <w:spacing w:line="360" w:lineRule="auto"/>
        <w:ind w:firstLine="709"/>
        <w:jc w:val="both"/>
        <w:rPr>
          <w:sz w:val="28"/>
          <w:szCs w:val="28"/>
        </w:rPr>
      </w:pPr>
      <w:r w:rsidRPr="0092636F">
        <w:rPr>
          <w:i/>
          <w:iCs/>
          <w:sz w:val="28"/>
          <w:szCs w:val="28"/>
        </w:rPr>
        <w:t xml:space="preserve">- у навчальному процесі – </w:t>
      </w:r>
      <w:r w:rsidRPr="0092636F">
        <w:rPr>
          <w:sz w:val="28"/>
          <w:szCs w:val="28"/>
        </w:rPr>
        <w:t>при викладанні навчальних дисциплін «Нотаріальний процес», «Цивільний процес», «Виконавчий процес» та підготовці підручників, навчальних посібників та навчально-методичних матеріалів з означеної тематики.</w:t>
      </w:r>
    </w:p>
    <w:p w:rsidR="00944F85" w:rsidRPr="005405F0" w:rsidRDefault="00944F85" w:rsidP="005A481C">
      <w:pPr>
        <w:spacing w:line="360" w:lineRule="auto"/>
        <w:ind w:firstLine="709"/>
        <w:jc w:val="both"/>
        <w:rPr>
          <w:b/>
          <w:sz w:val="28"/>
          <w:szCs w:val="28"/>
        </w:rPr>
      </w:pPr>
      <w:r w:rsidRPr="005405F0">
        <w:rPr>
          <w:b/>
          <w:sz w:val="28"/>
          <w:szCs w:val="28"/>
        </w:rPr>
        <w:t>Зауваження щодо змісту дисертації</w:t>
      </w:r>
    </w:p>
    <w:p w:rsidR="00944F85" w:rsidRPr="005F12A0" w:rsidRDefault="00944F85" w:rsidP="005A481C">
      <w:pPr>
        <w:spacing w:line="360" w:lineRule="auto"/>
        <w:ind w:firstLine="709"/>
        <w:jc w:val="both"/>
        <w:rPr>
          <w:sz w:val="28"/>
          <w:szCs w:val="28"/>
        </w:rPr>
      </w:pPr>
      <w:r w:rsidRPr="005F12A0">
        <w:rPr>
          <w:sz w:val="28"/>
          <w:szCs w:val="28"/>
        </w:rPr>
        <w:t>Вказуючи на високий рівень отриманих дисертанткою результатів наукового дослідження, слід все ж таки зазначити про певні дискусійні моменти роботи</w:t>
      </w:r>
      <w:r>
        <w:rPr>
          <w:sz w:val="28"/>
          <w:szCs w:val="28"/>
        </w:rPr>
        <w:t>, які потребують  пояснень дисертантки під час захисту</w:t>
      </w:r>
      <w:r w:rsidRPr="005F12A0">
        <w:rPr>
          <w:sz w:val="28"/>
          <w:szCs w:val="28"/>
        </w:rPr>
        <w:t>:</w:t>
      </w:r>
    </w:p>
    <w:p w:rsidR="00944F85" w:rsidRDefault="00944F85" w:rsidP="005A481C">
      <w:pPr>
        <w:pStyle w:val="a3"/>
        <w:numPr>
          <w:ilvl w:val="0"/>
          <w:numId w:val="1"/>
        </w:numPr>
        <w:tabs>
          <w:tab w:val="left" w:pos="1134"/>
        </w:tabs>
        <w:spacing w:after="0" w:line="360" w:lineRule="auto"/>
        <w:ind w:left="0" w:firstLine="709"/>
        <w:jc w:val="both"/>
        <w:rPr>
          <w:rFonts w:ascii="Times New Roman" w:hAnsi="Times New Roman"/>
          <w:sz w:val="28"/>
          <w:szCs w:val="28"/>
          <w:lang w:val="uk-UA"/>
        </w:rPr>
      </w:pPr>
      <w:bookmarkStart w:id="1" w:name="_Hlk515483667"/>
      <w:r>
        <w:rPr>
          <w:rFonts w:ascii="Times New Roman" w:hAnsi="Times New Roman"/>
          <w:sz w:val="28"/>
          <w:szCs w:val="28"/>
          <w:lang w:val="uk-UA"/>
        </w:rPr>
        <w:t xml:space="preserve"> На арк.108 дисертації та арк. 4 автореферату дисертанткою запропоновані критерії  розмежування компетенції суду в наказному провадженні та  нотаріуса при вчиненні виконавчого напису  за критеріями безспірності, які вона поділяє, відповідно, на:  умовно безспірну та  абсолютно безспірну. Під час захисту хотілось би почути додаткову аргументації щодо  ознак абсолютної безспірності в нотаріальному процесі, у чому вона проявляється та чому дисертантка називає її абсолютною. Крім того, дисертантка    вважає, що   у наказному провадженні може мати місце спірність, але вона є умовною, у чому вона проявляється і які наслідки настануть, якщо суд  при видачі судового наказу встановить таку спірність? </w:t>
      </w:r>
    </w:p>
    <w:bookmarkEnd w:id="1"/>
    <w:p w:rsidR="00944F85" w:rsidRPr="00F5465E" w:rsidRDefault="00944F85" w:rsidP="005A481C">
      <w:pPr>
        <w:pStyle w:val="a3"/>
        <w:numPr>
          <w:ilvl w:val="0"/>
          <w:numId w:val="1"/>
        </w:numPr>
        <w:tabs>
          <w:tab w:val="left" w:pos="1134"/>
        </w:tabs>
        <w:spacing w:after="0" w:line="360" w:lineRule="auto"/>
        <w:ind w:left="0" w:firstLine="709"/>
        <w:jc w:val="both"/>
        <w:rPr>
          <w:rFonts w:ascii="Times New Roman" w:hAnsi="Times New Roman"/>
          <w:sz w:val="28"/>
          <w:szCs w:val="28"/>
          <w:lang w:val="uk-UA"/>
        </w:rPr>
      </w:pPr>
      <w:r w:rsidRPr="00F5465E">
        <w:rPr>
          <w:rFonts w:ascii="Times New Roman" w:hAnsi="Times New Roman"/>
          <w:sz w:val="28"/>
          <w:szCs w:val="28"/>
          <w:lang w:val="uk-UA"/>
        </w:rPr>
        <w:t xml:space="preserve">У багатьох підручниках з нотаріату , де </w:t>
      </w:r>
      <w:r>
        <w:rPr>
          <w:rFonts w:ascii="Times New Roman" w:hAnsi="Times New Roman"/>
          <w:sz w:val="28"/>
          <w:szCs w:val="28"/>
          <w:lang w:val="uk-UA"/>
        </w:rPr>
        <w:t>висвітлю</w:t>
      </w:r>
      <w:r w:rsidRPr="00F5465E">
        <w:rPr>
          <w:rFonts w:ascii="Times New Roman" w:hAnsi="Times New Roman"/>
          <w:sz w:val="28"/>
          <w:szCs w:val="28"/>
          <w:lang w:val="uk-UA"/>
        </w:rPr>
        <w:t>ється процедура вчинення нотаріусом виконавчого напису та розкривається його сутність   вчені (Круковес Н., Коз’яков Ю., Єрух А.</w:t>
      </w:r>
      <w:r>
        <w:rPr>
          <w:rFonts w:ascii="Times New Roman" w:hAnsi="Times New Roman"/>
          <w:sz w:val="28"/>
          <w:szCs w:val="28"/>
          <w:lang w:val="uk-UA"/>
        </w:rPr>
        <w:t>, Кабакова, Комаров В.В.</w:t>
      </w:r>
      <w:r w:rsidRPr="00F5465E">
        <w:rPr>
          <w:rFonts w:ascii="Times New Roman" w:hAnsi="Times New Roman"/>
          <w:sz w:val="28"/>
          <w:szCs w:val="28"/>
          <w:lang w:val="uk-UA"/>
        </w:rPr>
        <w:t xml:space="preserve">) зазначають, що виконавчий напис нотаріуса є розпорядженням </w:t>
      </w:r>
      <w:r w:rsidRPr="00585B5F">
        <w:rPr>
          <w:rFonts w:ascii="Times New Roman" w:hAnsi="Times New Roman"/>
          <w:sz w:val="28"/>
          <w:szCs w:val="28"/>
          <w:lang w:val="uk-UA"/>
        </w:rPr>
        <w:t>нотаріального органу про примусове виконання зобов’язання сплати певної суми грошей або передачі майна</w:t>
      </w:r>
      <w:r w:rsidRPr="00F5465E">
        <w:rPr>
          <w:rFonts w:ascii="Times New Roman" w:hAnsi="Times New Roman"/>
          <w:sz w:val="28"/>
          <w:szCs w:val="28"/>
          <w:lang w:val="uk-UA"/>
        </w:rPr>
        <w:t xml:space="preserve">. У роботі </w:t>
      </w:r>
      <w:r>
        <w:rPr>
          <w:rFonts w:ascii="Times New Roman" w:hAnsi="Times New Roman"/>
          <w:sz w:val="28"/>
          <w:szCs w:val="28"/>
          <w:lang w:val="uk-UA"/>
        </w:rPr>
        <w:t xml:space="preserve"> (арк.15 дисертації) </w:t>
      </w:r>
      <w:r w:rsidRPr="00F5465E">
        <w:rPr>
          <w:rFonts w:ascii="Times New Roman" w:hAnsi="Times New Roman"/>
          <w:sz w:val="28"/>
          <w:szCs w:val="28"/>
          <w:lang w:val="uk-UA"/>
        </w:rPr>
        <w:t xml:space="preserve">дисертантка також наводить такі думки вчених і практиків та пропонує своє визначення і формулює поняття  </w:t>
      </w:r>
      <w:r w:rsidRPr="00F5465E">
        <w:rPr>
          <w:rFonts w:ascii="Times New Roman" w:hAnsi="Times New Roman"/>
          <w:sz w:val="28"/>
          <w:szCs w:val="28"/>
          <w:lang w:val="uk-UA"/>
        </w:rPr>
        <w:lastRenderedPageBreak/>
        <w:t>«виконавчого  напису» (</w:t>
      </w:r>
      <w:r>
        <w:rPr>
          <w:rFonts w:ascii="Times New Roman" w:hAnsi="Times New Roman"/>
          <w:sz w:val="28"/>
          <w:szCs w:val="28"/>
          <w:lang w:val="uk-UA"/>
        </w:rPr>
        <w:t>арк.30 дисертації,</w:t>
      </w:r>
      <w:r w:rsidRPr="00F5465E">
        <w:rPr>
          <w:rFonts w:ascii="Times New Roman" w:hAnsi="Times New Roman"/>
          <w:sz w:val="28"/>
          <w:szCs w:val="28"/>
          <w:lang w:val="uk-UA"/>
        </w:rPr>
        <w:t xml:space="preserve"> п.3 Наукової новизни арк.3 автореферату)</w:t>
      </w:r>
      <w:r>
        <w:rPr>
          <w:rFonts w:ascii="Times New Roman" w:hAnsi="Times New Roman"/>
          <w:sz w:val="28"/>
          <w:szCs w:val="28"/>
          <w:lang w:val="uk-UA"/>
        </w:rPr>
        <w:t>,</w:t>
      </w:r>
      <w:r w:rsidRPr="00F5465E">
        <w:rPr>
          <w:rFonts w:ascii="Times New Roman" w:hAnsi="Times New Roman"/>
          <w:sz w:val="28"/>
          <w:szCs w:val="28"/>
          <w:lang w:val="uk-UA"/>
        </w:rPr>
        <w:t xml:space="preserve"> яке істотно відрізняється  від думок даних вчених.  Тому хотілось би почути додаткову аргументацію  чому дисертантка вважає, що виконавчий напис не є розпорядженням нотаріуса</w:t>
      </w:r>
      <w:r>
        <w:rPr>
          <w:rFonts w:ascii="Times New Roman" w:hAnsi="Times New Roman"/>
          <w:sz w:val="28"/>
          <w:szCs w:val="28"/>
          <w:lang w:val="uk-UA"/>
        </w:rPr>
        <w:t>.</w:t>
      </w:r>
      <w:r w:rsidRPr="00F5465E">
        <w:rPr>
          <w:rFonts w:ascii="Times New Roman" w:hAnsi="Times New Roman"/>
          <w:sz w:val="28"/>
          <w:szCs w:val="28"/>
          <w:lang w:val="uk-UA"/>
        </w:rPr>
        <w:t xml:space="preserve"> </w:t>
      </w:r>
    </w:p>
    <w:p w:rsidR="00944F85" w:rsidRPr="005A481C" w:rsidRDefault="00944F85" w:rsidP="00AC0AC0">
      <w:pPr>
        <w:numPr>
          <w:ilvl w:val="0"/>
          <w:numId w:val="1"/>
        </w:numPr>
        <w:tabs>
          <w:tab w:val="left" w:pos="1134"/>
        </w:tabs>
        <w:spacing w:line="360" w:lineRule="auto"/>
        <w:ind w:left="0" w:firstLine="709"/>
        <w:jc w:val="both"/>
        <w:rPr>
          <w:sz w:val="28"/>
          <w:szCs w:val="28"/>
        </w:rPr>
      </w:pPr>
      <w:bookmarkStart w:id="2" w:name="_Hlk515485353"/>
      <w:r w:rsidRPr="005A481C">
        <w:rPr>
          <w:sz w:val="28"/>
          <w:szCs w:val="28"/>
        </w:rPr>
        <w:t>Потребує додаткового обґрунтування точка зору автора щодо того, що виконавчий напис нотаріуса повинен містити всі ті відомості, які вважаються необхідними для судових рішень</w:t>
      </w:r>
      <w:r>
        <w:rPr>
          <w:sz w:val="28"/>
          <w:szCs w:val="28"/>
        </w:rPr>
        <w:t xml:space="preserve"> </w:t>
      </w:r>
      <w:r w:rsidRPr="005A481C">
        <w:rPr>
          <w:sz w:val="28"/>
          <w:szCs w:val="28"/>
        </w:rPr>
        <w:t>зокрема,  відповідно до ст. 39 Закону України «Про іпотеку», але мати власну специфіку, яка випливає з повноважень нотаріусів</w:t>
      </w:r>
      <w:r>
        <w:rPr>
          <w:sz w:val="28"/>
          <w:szCs w:val="28"/>
        </w:rPr>
        <w:t xml:space="preserve"> (арк.9 автореферату)</w:t>
      </w:r>
      <w:r w:rsidRPr="005A481C">
        <w:rPr>
          <w:sz w:val="28"/>
          <w:szCs w:val="28"/>
        </w:rPr>
        <w:t>.</w:t>
      </w:r>
      <w:r>
        <w:rPr>
          <w:sz w:val="28"/>
          <w:szCs w:val="28"/>
        </w:rPr>
        <w:t xml:space="preserve"> У чому така специфіка проявляється, зокрема щодо вчинення виконавчого напису згідно Закону України «Про іпотеку»? Чи існує процесуальний акт, у якому по кожному виду заборгованості передбачена специфіка виконавчого напису як нотаріального акту чи така специфіка виводиться кожним нотаріусом окремо (на його розсуд), виходячи із норм матеріального права та чи не суперечить така діяльність  принципу єдиної нотаріальної форми та правилам нотаріального діловодства?</w:t>
      </w:r>
    </w:p>
    <w:bookmarkEnd w:id="2"/>
    <w:p w:rsidR="00944F85" w:rsidRDefault="00944F85" w:rsidP="0087719D">
      <w:pPr>
        <w:pStyle w:val="a3"/>
        <w:numPr>
          <w:ilvl w:val="0"/>
          <w:numId w:val="1"/>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 арк.24 дисертації та арк. 10 автореферату дисертантка зазначає, що  виконавчий напис виходячи із його змісту та форми  не може існувати окремо він </w:t>
      </w:r>
      <w:r w:rsidRPr="00A134D1">
        <w:rPr>
          <w:rFonts w:ascii="Times New Roman" w:hAnsi="Times New Roman"/>
          <w:sz w:val="28"/>
          <w:szCs w:val="28"/>
          <w:lang w:val="uk-UA"/>
        </w:rPr>
        <w:t xml:space="preserve">оригіналу </w:t>
      </w:r>
      <w:r>
        <w:rPr>
          <w:rFonts w:ascii="Times New Roman" w:hAnsi="Times New Roman"/>
          <w:sz w:val="28"/>
          <w:szCs w:val="28"/>
          <w:lang w:val="uk-UA"/>
        </w:rPr>
        <w:t>документа заборгованості, але у ст. 3 Закону України «Про виконавче провадження» серед виконавчих документів передбачено: п. 3) виконавчі написи нотаріуса, а у статтях 87, 89  Закону України « Про нотаріат»  вказується, що виконавчий напис вчиняється на  документах.  Тому виникає запитання: чи обов’язково виконавчий напис має вчинятися на оригіналі документу, якщо так, то чому чи може вчинятися на копії документу,  чи може розцінюватися виконавчий напис як нотаріальний акт, якщо він не вчинений на документі заборгованості, оскільки  у ст. 89 Закону України « Про нотаріат» у нього вказується сума, яка підлягає вчиненню чи проценти, пеня тощо.</w:t>
      </w:r>
    </w:p>
    <w:p w:rsidR="00944F85" w:rsidRPr="00AF1793" w:rsidRDefault="00944F85" w:rsidP="00B15365">
      <w:pPr>
        <w:pStyle w:val="a3"/>
        <w:numPr>
          <w:ilvl w:val="0"/>
          <w:numId w:val="1"/>
        </w:numPr>
        <w:tabs>
          <w:tab w:val="left" w:pos="1134"/>
        </w:tabs>
        <w:spacing w:after="0" w:line="360" w:lineRule="auto"/>
        <w:ind w:left="0" w:firstLine="709"/>
        <w:jc w:val="both"/>
        <w:rPr>
          <w:sz w:val="28"/>
          <w:szCs w:val="28"/>
          <w:lang w:val="uk-UA"/>
        </w:rPr>
      </w:pPr>
      <w:r w:rsidRPr="00F220ED">
        <w:rPr>
          <w:rFonts w:ascii="Times New Roman" w:hAnsi="Times New Roman"/>
          <w:sz w:val="28"/>
          <w:szCs w:val="28"/>
          <w:lang w:val="uk-UA"/>
        </w:rPr>
        <w:t xml:space="preserve"> Автор  приводить багато прикладів із судової практики (арк.</w:t>
      </w:r>
      <w:r>
        <w:rPr>
          <w:rFonts w:ascii="Times New Roman" w:hAnsi="Times New Roman"/>
          <w:sz w:val="28"/>
          <w:szCs w:val="28"/>
          <w:lang w:val="uk-UA"/>
        </w:rPr>
        <w:t xml:space="preserve"> 62, 63,  129, 134-136, 138, 141 </w:t>
      </w:r>
      <w:r w:rsidRPr="00F220ED">
        <w:rPr>
          <w:rFonts w:ascii="Times New Roman" w:hAnsi="Times New Roman"/>
          <w:sz w:val="28"/>
          <w:szCs w:val="28"/>
          <w:lang w:val="uk-UA"/>
        </w:rPr>
        <w:t>дисертації) щодо визнання виконавчого напису таким, що не підлягає виконанню</w:t>
      </w:r>
      <w:r>
        <w:rPr>
          <w:rFonts w:ascii="Times New Roman" w:hAnsi="Times New Roman"/>
          <w:sz w:val="28"/>
          <w:szCs w:val="28"/>
          <w:lang w:val="uk-UA"/>
        </w:rPr>
        <w:t xml:space="preserve">. Хотілось би почути під час захисту щодо  такої підстави  визнання його судом  таким, що не підлягає виконанню – порушення порядку  вчинення  нотаріусом   виконавчого  напису. В   чому  такі  порушення </w:t>
      </w:r>
    </w:p>
    <w:p w:rsidR="00944F85" w:rsidRPr="00B15365" w:rsidRDefault="00D95CF6" w:rsidP="009A5AB5">
      <w:r>
        <w:rPr>
          <w:noProof/>
          <w:lang w:eastAsia="uk-UA"/>
        </w:rPr>
        <w:lastRenderedPageBreak/>
        <w:drawing>
          <wp:inline distT="0" distB="0" distL="0" distR="0">
            <wp:extent cx="6064250" cy="85661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4250" cy="8566150"/>
                    </a:xfrm>
                    <a:prstGeom prst="rect">
                      <a:avLst/>
                    </a:prstGeom>
                    <a:noFill/>
                    <a:ln>
                      <a:noFill/>
                    </a:ln>
                  </pic:spPr>
                </pic:pic>
              </a:graphicData>
            </a:graphic>
          </wp:inline>
        </w:drawing>
      </w:r>
    </w:p>
    <w:sectPr w:rsidR="00944F85" w:rsidRPr="00B15365" w:rsidSect="005405F0">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MT">
    <w:altName w:val="Arial Unicode MS"/>
    <w:panose1 w:val="00000000000000000000"/>
    <w:charset w:val="80"/>
    <w:family w:val="swiss"/>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490C6E"/>
    <w:multiLevelType w:val="hybridMultilevel"/>
    <w:tmpl w:val="CF6865EE"/>
    <w:lvl w:ilvl="0" w:tplc="E336099A">
      <w:start w:val="1"/>
      <w:numFmt w:val="decimal"/>
      <w:lvlText w:val="%1."/>
      <w:lvlJc w:val="left"/>
      <w:pPr>
        <w:ind w:left="928" w:hanging="360"/>
      </w:pPr>
      <w:rPr>
        <w:rFonts w:ascii="Times New Roman" w:hAnsi="Times New Roman"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5F0"/>
    <w:rsid w:val="00000454"/>
    <w:rsid w:val="00030004"/>
    <w:rsid w:val="000301E7"/>
    <w:rsid w:val="00057002"/>
    <w:rsid w:val="00072441"/>
    <w:rsid w:val="00081D36"/>
    <w:rsid w:val="00110AB2"/>
    <w:rsid w:val="0011516D"/>
    <w:rsid w:val="001431F8"/>
    <w:rsid w:val="0016667F"/>
    <w:rsid w:val="00173CCC"/>
    <w:rsid w:val="001F5B16"/>
    <w:rsid w:val="00202384"/>
    <w:rsid w:val="00257F26"/>
    <w:rsid w:val="0027117F"/>
    <w:rsid w:val="00275F75"/>
    <w:rsid w:val="002D5B48"/>
    <w:rsid w:val="002E0251"/>
    <w:rsid w:val="002E319D"/>
    <w:rsid w:val="002F39D2"/>
    <w:rsid w:val="0031116A"/>
    <w:rsid w:val="00317338"/>
    <w:rsid w:val="003215F9"/>
    <w:rsid w:val="003323E8"/>
    <w:rsid w:val="00386A34"/>
    <w:rsid w:val="003952C1"/>
    <w:rsid w:val="003C4403"/>
    <w:rsid w:val="003F4715"/>
    <w:rsid w:val="004E5B4A"/>
    <w:rsid w:val="0051482E"/>
    <w:rsid w:val="005405F0"/>
    <w:rsid w:val="00584B40"/>
    <w:rsid w:val="00585B5F"/>
    <w:rsid w:val="005A481C"/>
    <w:rsid w:val="005A6E7A"/>
    <w:rsid w:val="005C4630"/>
    <w:rsid w:val="005C6DD7"/>
    <w:rsid w:val="005F12A0"/>
    <w:rsid w:val="00605675"/>
    <w:rsid w:val="0063620B"/>
    <w:rsid w:val="006732C5"/>
    <w:rsid w:val="006977B3"/>
    <w:rsid w:val="006B0926"/>
    <w:rsid w:val="006B42B5"/>
    <w:rsid w:val="006E5FFC"/>
    <w:rsid w:val="0070652F"/>
    <w:rsid w:val="00726A9C"/>
    <w:rsid w:val="0075774A"/>
    <w:rsid w:val="0076612E"/>
    <w:rsid w:val="00770FB1"/>
    <w:rsid w:val="007762D4"/>
    <w:rsid w:val="007E0974"/>
    <w:rsid w:val="00801937"/>
    <w:rsid w:val="008071E8"/>
    <w:rsid w:val="00813250"/>
    <w:rsid w:val="00817EE1"/>
    <w:rsid w:val="008753BA"/>
    <w:rsid w:val="0087719D"/>
    <w:rsid w:val="008C2357"/>
    <w:rsid w:val="008C3F4A"/>
    <w:rsid w:val="008F6348"/>
    <w:rsid w:val="0092636F"/>
    <w:rsid w:val="00940D06"/>
    <w:rsid w:val="00944F85"/>
    <w:rsid w:val="0095703D"/>
    <w:rsid w:val="00973051"/>
    <w:rsid w:val="009A5AB5"/>
    <w:rsid w:val="009C1A5B"/>
    <w:rsid w:val="009D498A"/>
    <w:rsid w:val="009D4D1D"/>
    <w:rsid w:val="00A134D1"/>
    <w:rsid w:val="00A60880"/>
    <w:rsid w:val="00A65EB6"/>
    <w:rsid w:val="00A85040"/>
    <w:rsid w:val="00AC0AC0"/>
    <w:rsid w:val="00AD14A0"/>
    <w:rsid w:val="00AE19FC"/>
    <w:rsid w:val="00AF1793"/>
    <w:rsid w:val="00B004DC"/>
    <w:rsid w:val="00B15365"/>
    <w:rsid w:val="00B704E4"/>
    <w:rsid w:val="00B73739"/>
    <w:rsid w:val="00B84BCC"/>
    <w:rsid w:val="00B86B11"/>
    <w:rsid w:val="00B968E6"/>
    <w:rsid w:val="00BA7D79"/>
    <w:rsid w:val="00C4527F"/>
    <w:rsid w:val="00C470A4"/>
    <w:rsid w:val="00C87A63"/>
    <w:rsid w:val="00CA36ED"/>
    <w:rsid w:val="00CD7475"/>
    <w:rsid w:val="00D068CE"/>
    <w:rsid w:val="00D830C2"/>
    <w:rsid w:val="00D95CF6"/>
    <w:rsid w:val="00DA264A"/>
    <w:rsid w:val="00DB7366"/>
    <w:rsid w:val="00DD6895"/>
    <w:rsid w:val="00E54FE1"/>
    <w:rsid w:val="00E72BA2"/>
    <w:rsid w:val="00E77F35"/>
    <w:rsid w:val="00ED4E98"/>
    <w:rsid w:val="00F220ED"/>
    <w:rsid w:val="00F5465E"/>
    <w:rsid w:val="00F82396"/>
    <w:rsid w:val="00F8293B"/>
    <w:rsid w:val="00FE341E"/>
    <w:rsid w:val="00FE79EF"/>
    <w:rsid w:val="00FF3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5F0"/>
    <w:rPr>
      <w:rFonts w:ascii="Times New Roman" w:eastAsia="Times New Roman" w:hAnsi="Times New Roman"/>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405F0"/>
    <w:pPr>
      <w:spacing w:after="200" w:line="276" w:lineRule="auto"/>
      <w:ind w:left="720"/>
      <w:contextualSpacing/>
    </w:pPr>
    <w:rPr>
      <w:rFonts w:ascii="Calibri" w:eastAsia="Calibri" w:hAnsi="Calibri"/>
      <w:sz w:val="22"/>
      <w:szCs w:val="22"/>
      <w:lang w:val="ru-RU" w:eastAsia="en-US"/>
    </w:rPr>
  </w:style>
  <w:style w:type="character" w:customStyle="1" w:styleId="fontstyle01">
    <w:name w:val="fontstyle01"/>
    <w:uiPriority w:val="99"/>
    <w:rsid w:val="00C87A63"/>
    <w:rPr>
      <w:rFonts w:ascii="ArialMT" w:eastAsia="ArialMT"/>
      <w:color w:val="000000"/>
      <w:sz w:val="20"/>
    </w:rPr>
  </w:style>
  <w:style w:type="character" w:styleId="a4">
    <w:name w:val="Hyperlink"/>
    <w:basedOn w:val="a0"/>
    <w:uiPriority w:val="99"/>
    <w:rsid w:val="00584B40"/>
    <w:rPr>
      <w:rFonts w:cs="Times New Roman"/>
      <w:color w:val="0000FF"/>
      <w:u w:val="single"/>
    </w:rPr>
  </w:style>
  <w:style w:type="character" w:customStyle="1" w:styleId="hl1">
    <w:name w:val="hl1"/>
    <w:uiPriority w:val="99"/>
    <w:rsid w:val="00584B40"/>
    <w:rPr>
      <w:color w:val="4682B4"/>
    </w:rPr>
  </w:style>
  <w:style w:type="character" w:customStyle="1" w:styleId="a5">
    <w:name w:val="Сноска_"/>
    <w:uiPriority w:val="99"/>
    <w:rsid w:val="00584B40"/>
    <w:rPr>
      <w:rFonts w:eastAsia="Arial Unicode MS"/>
      <w:b/>
      <w:sz w:val="16"/>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5F0"/>
    <w:rPr>
      <w:rFonts w:ascii="Times New Roman" w:eastAsia="Times New Roman" w:hAnsi="Times New Roman"/>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405F0"/>
    <w:pPr>
      <w:spacing w:after="200" w:line="276" w:lineRule="auto"/>
      <w:ind w:left="720"/>
      <w:contextualSpacing/>
    </w:pPr>
    <w:rPr>
      <w:rFonts w:ascii="Calibri" w:eastAsia="Calibri" w:hAnsi="Calibri"/>
      <w:sz w:val="22"/>
      <w:szCs w:val="22"/>
      <w:lang w:val="ru-RU" w:eastAsia="en-US"/>
    </w:rPr>
  </w:style>
  <w:style w:type="character" w:customStyle="1" w:styleId="fontstyle01">
    <w:name w:val="fontstyle01"/>
    <w:uiPriority w:val="99"/>
    <w:rsid w:val="00C87A63"/>
    <w:rPr>
      <w:rFonts w:ascii="ArialMT" w:eastAsia="ArialMT"/>
      <w:color w:val="000000"/>
      <w:sz w:val="20"/>
    </w:rPr>
  </w:style>
  <w:style w:type="character" w:styleId="a4">
    <w:name w:val="Hyperlink"/>
    <w:basedOn w:val="a0"/>
    <w:uiPriority w:val="99"/>
    <w:rsid w:val="00584B40"/>
    <w:rPr>
      <w:rFonts w:cs="Times New Roman"/>
      <w:color w:val="0000FF"/>
      <w:u w:val="single"/>
    </w:rPr>
  </w:style>
  <w:style w:type="character" w:customStyle="1" w:styleId="hl1">
    <w:name w:val="hl1"/>
    <w:uiPriority w:val="99"/>
    <w:rsid w:val="00584B40"/>
    <w:rPr>
      <w:color w:val="4682B4"/>
    </w:rPr>
  </w:style>
  <w:style w:type="character" w:customStyle="1" w:styleId="a5">
    <w:name w:val="Сноска_"/>
    <w:uiPriority w:val="99"/>
    <w:rsid w:val="00584B40"/>
    <w:rPr>
      <w:rFonts w:eastAsia="Arial Unicode MS"/>
      <w:b/>
      <w:sz w:val="16"/>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9008</Words>
  <Characters>5135</Characters>
  <Application>Microsoft Office Word</Application>
  <DocSecurity>0</DocSecurity>
  <Lines>42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Оксана</cp:lastModifiedBy>
  <cp:revision>2</cp:revision>
  <cp:lastPrinted>2018-05-31T12:11:00Z</cp:lastPrinted>
  <dcterms:created xsi:type="dcterms:W3CDTF">2018-06-04T14:20:00Z</dcterms:created>
  <dcterms:modified xsi:type="dcterms:W3CDTF">2018-06-04T14:20:00Z</dcterms:modified>
</cp:coreProperties>
</file>